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0E" w:rsidRPr="00F130DB" w:rsidRDefault="00F130DB" w:rsidP="00C5770F">
      <w:pPr>
        <w:jc w:val="center"/>
        <w:rPr>
          <w:rFonts w:ascii="Verdana" w:hAnsi="Verdana"/>
          <w:b/>
          <w:sz w:val="36"/>
          <w:szCs w:val="36"/>
        </w:rPr>
      </w:pPr>
      <w:r w:rsidRPr="00F130DB">
        <w:rPr>
          <w:rFonts w:ascii="Verdana" w:hAnsi="Verdana"/>
          <w:b/>
          <w:sz w:val="36"/>
          <w:szCs w:val="36"/>
        </w:rPr>
        <w:t>Linking Performance Measurement, Management, Audit, and Fraud--</w:t>
      </w:r>
      <w:r w:rsidR="00C5770F" w:rsidRPr="00F130DB">
        <w:rPr>
          <w:rFonts w:ascii="Verdana" w:hAnsi="Verdana"/>
          <w:b/>
          <w:sz w:val="36"/>
          <w:szCs w:val="36"/>
        </w:rPr>
        <w:t>Handout for 02/10/2010</w:t>
      </w:r>
    </w:p>
    <w:p w:rsidR="00602FAA" w:rsidRDefault="00602FAA" w:rsidP="00C5770F">
      <w:pPr>
        <w:jc w:val="center"/>
        <w:rPr>
          <w:rFonts w:ascii="Verdana" w:hAnsi="Verdana"/>
          <w:sz w:val="36"/>
          <w:szCs w:val="36"/>
        </w:rPr>
      </w:pPr>
    </w:p>
    <w:p w:rsidR="00602FAA" w:rsidRDefault="00602FAA" w:rsidP="00602FAA">
      <w:pPr>
        <w:pStyle w:val="Heading1"/>
      </w:pPr>
      <w:r>
        <w:t>Appendix A</w:t>
      </w:r>
    </w:p>
    <w:p w:rsidR="00602FAA" w:rsidRDefault="00602FAA" w:rsidP="00602FAA">
      <w:pPr>
        <w:tabs>
          <w:tab w:val="left" w:pos="2520"/>
        </w:tabs>
        <w:rPr>
          <w:rFonts w:ascii="Verdana" w:hAnsi="Verdana"/>
          <w:sz w:val="32"/>
          <w:szCs w:val="32"/>
        </w:rPr>
      </w:pPr>
      <w:r>
        <w:rPr>
          <w:rFonts w:ascii="Verdana" w:hAnsi="Verdana"/>
          <w:sz w:val="32"/>
          <w:szCs w:val="32"/>
        </w:rPr>
        <w:t>Glossary of Terms</w:t>
      </w:r>
    </w:p>
    <w:p w:rsidR="00602FAA" w:rsidRDefault="00602FAA" w:rsidP="00602FAA">
      <w:pPr>
        <w:tabs>
          <w:tab w:val="left" w:pos="2520"/>
        </w:tabs>
        <w:rPr>
          <w:rFonts w:ascii="Verdana" w:hAnsi="Verdana"/>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88"/>
      </w:tblGrid>
      <w:tr w:rsidR="00602FAA" w:rsidTr="00D9104C">
        <w:tc>
          <w:tcPr>
            <w:tcW w:w="3168" w:type="dxa"/>
          </w:tcPr>
          <w:p w:rsidR="00602FAA" w:rsidRDefault="00602FAA" w:rsidP="00D9104C">
            <w:pPr>
              <w:tabs>
                <w:tab w:val="left" w:pos="2520"/>
              </w:tabs>
              <w:rPr>
                <w:rFonts w:ascii="Verdana" w:hAnsi="Verdana"/>
                <w:b/>
                <w:sz w:val="20"/>
                <w:szCs w:val="20"/>
              </w:rPr>
            </w:pPr>
            <w:r>
              <w:rPr>
                <w:rFonts w:ascii="Verdana" w:hAnsi="Verdana"/>
                <w:b/>
                <w:sz w:val="20"/>
                <w:szCs w:val="20"/>
              </w:rPr>
              <w:t>TERM/PHRASE</w:t>
            </w:r>
          </w:p>
        </w:tc>
        <w:tc>
          <w:tcPr>
            <w:tcW w:w="5688" w:type="dxa"/>
          </w:tcPr>
          <w:p w:rsidR="00602FAA" w:rsidRDefault="00602FAA" w:rsidP="00D9104C">
            <w:pPr>
              <w:tabs>
                <w:tab w:val="left" w:pos="2520"/>
              </w:tabs>
              <w:jc w:val="both"/>
              <w:rPr>
                <w:rFonts w:ascii="Verdana" w:hAnsi="Verdana"/>
                <w:b/>
                <w:sz w:val="20"/>
                <w:szCs w:val="20"/>
              </w:rPr>
            </w:pPr>
            <w:r>
              <w:rPr>
                <w:rFonts w:ascii="Verdana" w:hAnsi="Verdana"/>
                <w:b/>
                <w:sz w:val="20"/>
                <w:szCs w:val="20"/>
              </w:rPr>
              <w:t>DEFINITION</w:t>
            </w:r>
          </w:p>
        </w:tc>
      </w:tr>
      <w:tr w:rsidR="00602FAA" w:rsidTr="00D9104C">
        <w:tc>
          <w:tcPr>
            <w:tcW w:w="3168" w:type="dxa"/>
          </w:tcPr>
          <w:p w:rsidR="00602FAA" w:rsidRDefault="00602FAA" w:rsidP="00D9104C">
            <w:pPr>
              <w:tabs>
                <w:tab w:val="left" w:pos="2520"/>
              </w:tabs>
              <w:rPr>
                <w:rFonts w:ascii="Verdana" w:hAnsi="Verdana"/>
                <w:b/>
                <w:sz w:val="20"/>
                <w:szCs w:val="20"/>
              </w:rPr>
            </w:pPr>
            <w:r>
              <w:rPr>
                <w:rFonts w:ascii="Verdana" w:hAnsi="Verdana"/>
                <w:b/>
                <w:sz w:val="20"/>
                <w:szCs w:val="20"/>
              </w:rPr>
              <w:t>Audit ability</w:t>
            </w:r>
          </w:p>
        </w:tc>
        <w:tc>
          <w:tcPr>
            <w:tcW w:w="5688" w:type="dxa"/>
          </w:tcPr>
          <w:p w:rsidR="00602FAA" w:rsidRDefault="00602FAA" w:rsidP="00D9104C">
            <w:pPr>
              <w:tabs>
                <w:tab w:val="left" w:pos="2520"/>
              </w:tabs>
              <w:rPr>
                <w:rFonts w:ascii="Verdana" w:hAnsi="Verdana"/>
                <w:sz w:val="20"/>
                <w:szCs w:val="20"/>
              </w:rPr>
            </w:pPr>
            <w:r>
              <w:rPr>
                <w:rFonts w:ascii="Verdana" w:hAnsi="Verdana"/>
                <w:sz w:val="20"/>
                <w:szCs w:val="20"/>
              </w:rPr>
              <w:t>Audit job factors that the auditor considers after assessing inherent risk and control risk and before finalizing audit objectives, scope, and methodology.  These factors include circumstances, policy, or other concerns that could prevent an audit team from meeting audit time and cost estimates and/or producing a quality product.</w:t>
            </w:r>
          </w:p>
        </w:tc>
      </w:tr>
      <w:tr w:rsidR="00602FAA" w:rsidTr="00D9104C">
        <w:tc>
          <w:tcPr>
            <w:tcW w:w="3168" w:type="dxa"/>
          </w:tcPr>
          <w:p w:rsidR="00602FAA" w:rsidRDefault="00602FAA" w:rsidP="00D9104C">
            <w:pPr>
              <w:tabs>
                <w:tab w:val="left" w:pos="2520"/>
              </w:tabs>
              <w:rPr>
                <w:rFonts w:ascii="Verdana" w:hAnsi="Verdana"/>
                <w:b/>
                <w:sz w:val="20"/>
                <w:szCs w:val="20"/>
              </w:rPr>
            </w:pPr>
            <w:r>
              <w:rPr>
                <w:rFonts w:ascii="Verdana" w:hAnsi="Verdana"/>
                <w:b/>
                <w:sz w:val="20"/>
                <w:szCs w:val="20"/>
              </w:rPr>
              <w:t>Control risk</w:t>
            </w:r>
          </w:p>
        </w:tc>
        <w:tc>
          <w:tcPr>
            <w:tcW w:w="5688" w:type="dxa"/>
          </w:tcPr>
          <w:p w:rsidR="00602FAA" w:rsidRDefault="00602FAA" w:rsidP="00D9104C">
            <w:pPr>
              <w:tabs>
                <w:tab w:val="left" w:pos="2520"/>
              </w:tabs>
              <w:rPr>
                <w:rFonts w:ascii="Verdana" w:hAnsi="Verdana"/>
                <w:sz w:val="20"/>
                <w:szCs w:val="20"/>
              </w:rPr>
            </w:pPr>
            <w:r>
              <w:rPr>
                <w:rFonts w:ascii="Verdana" w:hAnsi="Verdana"/>
                <w:sz w:val="20"/>
                <w:szCs w:val="20"/>
              </w:rPr>
              <w:t>The risk that the internal or management control system will not detect or prevent material (i.e. significant or sensitive) errors and irregularities in achieving the results, goals, or objectives of operations.</w:t>
            </w:r>
          </w:p>
        </w:tc>
      </w:tr>
      <w:tr w:rsidR="00602FAA" w:rsidTr="00D9104C">
        <w:tc>
          <w:tcPr>
            <w:tcW w:w="3168" w:type="dxa"/>
          </w:tcPr>
          <w:p w:rsidR="00602FAA" w:rsidRDefault="00602FAA" w:rsidP="00D9104C">
            <w:pPr>
              <w:tabs>
                <w:tab w:val="left" w:pos="2520"/>
              </w:tabs>
              <w:rPr>
                <w:rFonts w:ascii="Verdana" w:hAnsi="Verdana"/>
                <w:b/>
                <w:sz w:val="20"/>
                <w:szCs w:val="20"/>
              </w:rPr>
            </w:pPr>
            <w:r>
              <w:rPr>
                <w:rFonts w:ascii="Verdana" w:hAnsi="Verdana"/>
                <w:b/>
                <w:sz w:val="20"/>
                <w:szCs w:val="20"/>
              </w:rPr>
              <w:t>Inherent risk</w:t>
            </w:r>
          </w:p>
        </w:tc>
        <w:tc>
          <w:tcPr>
            <w:tcW w:w="5688" w:type="dxa"/>
          </w:tcPr>
          <w:p w:rsidR="00602FAA" w:rsidRDefault="00602FAA" w:rsidP="00D9104C">
            <w:pPr>
              <w:tabs>
                <w:tab w:val="left" w:pos="2520"/>
              </w:tabs>
              <w:rPr>
                <w:rFonts w:ascii="Verdana" w:hAnsi="Verdana"/>
                <w:sz w:val="20"/>
                <w:szCs w:val="20"/>
              </w:rPr>
            </w:pPr>
            <w:r>
              <w:rPr>
                <w:rFonts w:ascii="Verdana" w:hAnsi="Verdana"/>
                <w:sz w:val="20"/>
                <w:szCs w:val="20"/>
              </w:rPr>
              <w:t>The susceptibility of a government program or system to a significant or sensitive deficiency without taking into consideration internal or management controls.</w:t>
            </w:r>
          </w:p>
        </w:tc>
      </w:tr>
      <w:tr w:rsidR="00602FAA" w:rsidTr="00D9104C">
        <w:tc>
          <w:tcPr>
            <w:tcW w:w="3168" w:type="dxa"/>
          </w:tcPr>
          <w:p w:rsidR="00602FAA" w:rsidRDefault="00602FAA" w:rsidP="00D9104C">
            <w:pPr>
              <w:tabs>
                <w:tab w:val="left" w:pos="2520"/>
              </w:tabs>
              <w:rPr>
                <w:rFonts w:ascii="Verdana" w:hAnsi="Verdana"/>
                <w:b/>
                <w:sz w:val="20"/>
                <w:szCs w:val="20"/>
              </w:rPr>
            </w:pPr>
            <w:r>
              <w:rPr>
                <w:rFonts w:ascii="Verdana" w:hAnsi="Verdana"/>
                <w:b/>
                <w:sz w:val="20"/>
                <w:szCs w:val="20"/>
              </w:rPr>
              <w:t>Internal control</w:t>
            </w:r>
          </w:p>
        </w:tc>
        <w:tc>
          <w:tcPr>
            <w:tcW w:w="5688" w:type="dxa"/>
          </w:tcPr>
          <w:p w:rsidR="00602FAA" w:rsidRDefault="00602FAA" w:rsidP="00D9104C">
            <w:pPr>
              <w:tabs>
                <w:tab w:val="left" w:pos="2520"/>
              </w:tabs>
              <w:rPr>
                <w:rFonts w:ascii="Verdana" w:hAnsi="Verdana"/>
                <w:sz w:val="20"/>
                <w:szCs w:val="20"/>
              </w:rPr>
            </w:pPr>
            <w:r>
              <w:rPr>
                <w:rFonts w:ascii="Verdana" w:hAnsi="Verdana"/>
                <w:sz w:val="20"/>
                <w:szCs w:val="20"/>
              </w:rPr>
              <w:t>A process within an organization designed to provide reasonable assurance regarding the achievement of the following primary objectives:</w:t>
            </w:r>
          </w:p>
          <w:p w:rsidR="00602FAA" w:rsidRDefault="00602FAA" w:rsidP="00602FAA">
            <w:pPr>
              <w:numPr>
                <w:ilvl w:val="0"/>
                <w:numId w:val="1"/>
              </w:numPr>
              <w:tabs>
                <w:tab w:val="left" w:pos="2520"/>
              </w:tabs>
              <w:spacing w:after="0" w:line="240" w:lineRule="auto"/>
              <w:rPr>
                <w:rFonts w:ascii="Verdana" w:hAnsi="Verdana"/>
                <w:sz w:val="20"/>
                <w:szCs w:val="20"/>
              </w:rPr>
            </w:pPr>
            <w:r>
              <w:rPr>
                <w:rFonts w:ascii="Verdana" w:hAnsi="Verdana"/>
                <w:sz w:val="20"/>
                <w:szCs w:val="20"/>
              </w:rPr>
              <w:t>The reliability and integrity of information</w:t>
            </w:r>
          </w:p>
          <w:p w:rsidR="00602FAA" w:rsidRDefault="00602FAA" w:rsidP="00602FAA">
            <w:pPr>
              <w:numPr>
                <w:ilvl w:val="0"/>
                <w:numId w:val="1"/>
              </w:numPr>
              <w:tabs>
                <w:tab w:val="left" w:pos="2520"/>
              </w:tabs>
              <w:spacing w:after="0" w:line="240" w:lineRule="auto"/>
              <w:rPr>
                <w:rFonts w:ascii="Verdana" w:hAnsi="Verdana"/>
                <w:sz w:val="20"/>
                <w:szCs w:val="20"/>
              </w:rPr>
            </w:pPr>
            <w:r>
              <w:rPr>
                <w:rFonts w:ascii="Verdana" w:hAnsi="Verdana"/>
                <w:sz w:val="20"/>
                <w:szCs w:val="20"/>
              </w:rPr>
              <w:t>Compliance with policies, plans, procedures, laws, regulations, and contracts</w:t>
            </w:r>
          </w:p>
          <w:p w:rsidR="00602FAA" w:rsidRDefault="00602FAA" w:rsidP="00602FAA">
            <w:pPr>
              <w:numPr>
                <w:ilvl w:val="0"/>
                <w:numId w:val="1"/>
              </w:numPr>
              <w:tabs>
                <w:tab w:val="left" w:pos="2520"/>
              </w:tabs>
              <w:spacing w:after="0" w:line="240" w:lineRule="auto"/>
              <w:rPr>
                <w:rFonts w:ascii="Verdana" w:hAnsi="Verdana"/>
                <w:sz w:val="20"/>
                <w:szCs w:val="20"/>
              </w:rPr>
            </w:pPr>
            <w:r>
              <w:rPr>
                <w:rFonts w:ascii="Verdana" w:hAnsi="Verdana"/>
                <w:sz w:val="20"/>
                <w:szCs w:val="20"/>
              </w:rPr>
              <w:t>The safeguarding of assets</w:t>
            </w:r>
          </w:p>
          <w:p w:rsidR="00602FAA" w:rsidRDefault="00602FAA" w:rsidP="00602FAA">
            <w:pPr>
              <w:numPr>
                <w:ilvl w:val="0"/>
                <w:numId w:val="1"/>
              </w:numPr>
              <w:tabs>
                <w:tab w:val="left" w:pos="2520"/>
              </w:tabs>
              <w:spacing w:after="0" w:line="240" w:lineRule="auto"/>
              <w:rPr>
                <w:rFonts w:ascii="Verdana" w:hAnsi="Verdana"/>
                <w:sz w:val="20"/>
                <w:szCs w:val="20"/>
              </w:rPr>
            </w:pPr>
            <w:r>
              <w:rPr>
                <w:rFonts w:ascii="Verdana" w:hAnsi="Verdana"/>
                <w:sz w:val="20"/>
                <w:szCs w:val="20"/>
              </w:rPr>
              <w:t>The economical and efficient use of resources</w:t>
            </w:r>
          </w:p>
          <w:p w:rsidR="00602FAA" w:rsidRDefault="00602FAA" w:rsidP="00602FAA">
            <w:pPr>
              <w:numPr>
                <w:ilvl w:val="0"/>
                <w:numId w:val="1"/>
              </w:numPr>
              <w:tabs>
                <w:tab w:val="left" w:pos="2520"/>
              </w:tabs>
              <w:spacing w:after="0" w:line="240" w:lineRule="auto"/>
              <w:rPr>
                <w:rFonts w:ascii="Verdana" w:hAnsi="Verdana"/>
                <w:sz w:val="20"/>
                <w:szCs w:val="20"/>
              </w:rPr>
            </w:pPr>
            <w:r>
              <w:rPr>
                <w:rFonts w:ascii="Verdana" w:hAnsi="Verdana"/>
                <w:sz w:val="20"/>
                <w:szCs w:val="20"/>
              </w:rPr>
              <w:t>The accomplishment of established objectives and goals for operations or programs.</w:t>
            </w:r>
          </w:p>
        </w:tc>
      </w:tr>
      <w:tr w:rsidR="00602FAA" w:rsidTr="00D9104C">
        <w:tc>
          <w:tcPr>
            <w:tcW w:w="3168" w:type="dxa"/>
          </w:tcPr>
          <w:p w:rsidR="00602FAA" w:rsidRDefault="00602FAA" w:rsidP="00D9104C">
            <w:pPr>
              <w:tabs>
                <w:tab w:val="left" w:pos="2520"/>
              </w:tabs>
              <w:rPr>
                <w:rFonts w:ascii="Verdana" w:hAnsi="Verdana"/>
                <w:b/>
                <w:sz w:val="20"/>
                <w:szCs w:val="20"/>
              </w:rPr>
            </w:pPr>
            <w:r>
              <w:rPr>
                <w:rFonts w:ascii="Verdana" w:hAnsi="Verdana"/>
                <w:b/>
                <w:sz w:val="20"/>
                <w:szCs w:val="20"/>
              </w:rPr>
              <w:lastRenderedPageBreak/>
              <w:t>Program</w:t>
            </w:r>
          </w:p>
        </w:tc>
        <w:tc>
          <w:tcPr>
            <w:tcW w:w="5688" w:type="dxa"/>
          </w:tcPr>
          <w:p w:rsidR="00602FAA" w:rsidRDefault="00602FAA" w:rsidP="00D9104C">
            <w:pPr>
              <w:tabs>
                <w:tab w:val="left" w:pos="2520"/>
              </w:tabs>
              <w:rPr>
                <w:rFonts w:ascii="Verdana" w:hAnsi="Verdana"/>
                <w:sz w:val="20"/>
                <w:szCs w:val="20"/>
              </w:rPr>
            </w:pPr>
            <w:r>
              <w:rPr>
                <w:rFonts w:ascii="Verdana" w:hAnsi="Verdana"/>
                <w:sz w:val="20"/>
                <w:szCs w:val="20"/>
              </w:rPr>
              <w:t>A set of government activities with a common purpose that produces results or outcomes for citizens.</w:t>
            </w:r>
          </w:p>
        </w:tc>
      </w:tr>
      <w:tr w:rsidR="00602FAA" w:rsidTr="00D9104C">
        <w:tc>
          <w:tcPr>
            <w:tcW w:w="3168" w:type="dxa"/>
          </w:tcPr>
          <w:p w:rsidR="00602FAA" w:rsidRDefault="00602FAA" w:rsidP="00D9104C">
            <w:pPr>
              <w:tabs>
                <w:tab w:val="left" w:pos="2520"/>
              </w:tabs>
              <w:rPr>
                <w:rFonts w:ascii="Verdana" w:hAnsi="Verdana"/>
                <w:b/>
                <w:sz w:val="20"/>
                <w:szCs w:val="20"/>
              </w:rPr>
            </w:pPr>
            <w:r>
              <w:rPr>
                <w:rFonts w:ascii="Verdana" w:hAnsi="Verdana"/>
                <w:b/>
                <w:sz w:val="20"/>
                <w:szCs w:val="20"/>
              </w:rPr>
              <w:t>Risk</w:t>
            </w:r>
          </w:p>
        </w:tc>
        <w:tc>
          <w:tcPr>
            <w:tcW w:w="5688" w:type="dxa"/>
          </w:tcPr>
          <w:p w:rsidR="00602FAA" w:rsidRDefault="00602FAA" w:rsidP="00D9104C">
            <w:pPr>
              <w:tabs>
                <w:tab w:val="left" w:pos="2520"/>
              </w:tabs>
              <w:rPr>
                <w:rFonts w:ascii="Verdana" w:hAnsi="Verdana"/>
                <w:sz w:val="20"/>
                <w:szCs w:val="20"/>
              </w:rPr>
            </w:pPr>
            <w:r>
              <w:rPr>
                <w:rFonts w:ascii="Verdana" w:hAnsi="Verdana"/>
                <w:sz w:val="20"/>
                <w:szCs w:val="20"/>
              </w:rPr>
              <w:t>The probability that something will adversely affect the achievement of expected results or objectives.</w:t>
            </w:r>
          </w:p>
        </w:tc>
      </w:tr>
      <w:tr w:rsidR="00602FAA" w:rsidTr="00D9104C">
        <w:tc>
          <w:tcPr>
            <w:tcW w:w="3168" w:type="dxa"/>
          </w:tcPr>
          <w:p w:rsidR="00602FAA" w:rsidRDefault="00602FAA" w:rsidP="00D9104C">
            <w:pPr>
              <w:tabs>
                <w:tab w:val="left" w:pos="2520"/>
              </w:tabs>
              <w:rPr>
                <w:rFonts w:ascii="Verdana" w:hAnsi="Verdana"/>
                <w:b/>
                <w:sz w:val="20"/>
                <w:szCs w:val="20"/>
              </w:rPr>
            </w:pPr>
            <w:r>
              <w:rPr>
                <w:rFonts w:ascii="Verdana" w:hAnsi="Verdana"/>
                <w:b/>
                <w:sz w:val="20"/>
                <w:szCs w:val="20"/>
              </w:rPr>
              <w:t>Risk assessment</w:t>
            </w:r>
          </w:p>
        </w:tc>
        <w:tc>
          <w:tcPr>
            <w:tcW w:w="5688" w:type="dxa"/>
          </w:tcPr>
          <w:p w:rsidR="00602FAA" w:rsidRDefault="00602FAA" w:rsidP="00D9104C">
            <w:pPr>
              <w:tabs>
                <w:tab w:val="left" w:pos="2520"/>
              </w:tabs>
              <w:rPr>
                <w:rFonts w:ascii="Verdana" w:hAnsi="Verdana"/>
                <w:sz w:val="20"/>
                <w:szCs w:val="20"/>
              </w:rPr>
            </w:pPr>
            <w:r>
              <w:rPr>
                <w:rFonts w:ascii="Verdana" w:hAnsi="Verdana"/>
                <w:sz w:val="20"/>
                <w:szCs w:val="20"/>
              </w:rPr>
              <w:t>The identification of risk, the measurement of risk, and the process of prioritizing risk.</w:t>
            </w:r>
          </w:p>
        </w:tc>
      </w:tr>
      <w:tr w:rsidR="00602FAA" w:rsidTr="00D9104C">
        <w:tc>
          <w:tcPr>
            <w:tcW w:w="3168" w:type="dxa"/>
          </w:tcPr>
          <w:p w:rsidR="00602FAA" w:rsidRDefault="00602FAA" w:rsidP="00D9104C">
            <w:pPr>
              <w:tabs>
                <w:tab w:val="left" w:pos="2520"/>
              </w:tabs>
              <w:rPr>
                <w:rFonts w:ascii="Verdana" w:hAnsi="Verdana"/>
                <w:b/>
                <w:sz w:val="20"/>
                <w:szCs w:val="20"/>
              </w:rPr>
            </w:pPr>
            <w:r>
              <w:rPr>
                <w:rFonts w:ascii="Verdana" w:hAnsi="Verdana"/>
                <w:b/>
                <w:sz w:val="20"/>
                <w:szCs w:val="20"/>
              </w:rPr>
              <w:t>Risk factors</w:t>
            </w:r>
          </w:p>
        </w:tc>
        <w:tc>
          <w:tcPr>
            <w:tcW w:w="5688" w:type="dxa"/>
          </w:tcPr>
          <w:p w:rsidR="00602FAA" w:rsidRDefault="00602FAA" w:rsidP="00D9104C">
            <w:pPr>
              <w:tabs>
                <w:tab w:val="left" w:pos="2520"/>
              </w:tabs>
              <w:rPr>
                <w:rFonts w:ascii="Verdana" w:hAnsi="Verdana"/>
                <w:sz w:val="20"/>
                <w:szCs w:val="20"/>
              </w:rPr>
            </w:pPr>
            <w:r>
              <w:rPr>
                <w:rFonts w:ascii="Verdana" w:hAnsi="Verdana"/>
                <w:sz w:val="20"/>
                <w:szCs w:val="20"/>
              </w:rPr>
              <w:t>Measurable or observable manifestations or characteristics of a process that either indicates the presence of risk or tends to increase exposure to risk</w:t>
            </w:r>
          </w:p>
        </w:tc>
      </w:tr>
      <w:tr w:rsidR="00602FAA" w:rsidTr="00D9104C">
        <w:tc>
          <w:tcPr>
            <w:tcW w:w="3168" w:type="dxa"/>
          </w:tcPr>
          <w:p w:rsidR="00602FAA" w:rsidRDefault="00602FAA" w:rsidP="00D9104C">
            <w:pPr>
              <w:tabs>
                <w:tab w:val="left" w:pos="2520"/>
              </w:tabs>
              <w:rPr>
                <w:rFonts w:ascii="Verdana" w:hAnsi="Verdana"/>
                <w:b/>
                <w:sz w:val="20"/>
                <w:szCs w:val="20"/>
              </w:rPr>
            </w:pPr>
            <w:r>
              <w:rPr>
                <w:rFonts w:ascii="Verdana" w:hAnsi="Verdana"/>
                <w:b/>
                <w:sz w:val="20"/>
                <w:szCs w:val="20"/>
              </w:rPr>
              <w:t>Key accountability control systems</w:t>
            </w:r>
          </w:p>
        </w:tc>
        <w:tc>
          <w:tcPr>
            <w:tcW w:w="5688" w:type="dxa"/>
          </w:tcPr>
          <w:p w:rsidR="00602FAA" w:rsidRDefault="00602FAA" w:rsidP="00D9104C">
            <w:pPr>
              <w:tabs>
                <w:tab w:val="left" w:pos="2520"/>
              </w:tabs>
              <w:rPr>
                <w:rFonts w:ascii="Verdana" w:hAnsi="Verdana"/>
                <w:sz w:val="20"/>
                <w:szCs w:val="20"/>
              </w:rPr>
            </w:pPr>
            <w:r>
              <w:rPr>
                <w:rFonts w:ascii="Verdana" w:hAnsi="Verdana"/>
                <w:sz w:val="20"/>
                <w:szCs w:val="20"/>
              </w:rPr>
              <w:t>The State Auditor’s model which divides risk into five categories.</w:t>
            </w:r>
          </w:p>
        </w:tc>
      </w:tr>
    </w:tbl>
    <w:p w:rsidR="00602FAA" w:rsidRDefault="00602FAA" w:rsidP="00602FAA">
      <w:pPr>
        <w:tabs>
          <w:tab w:val="left" w:pos="2520"/>
        </w:tabs>
        <w:rPr>
          <w:rFonts w:ascii="Verdana" w:hAnsi="Verdana"/>
          <w:b/>
          <w:sz w:val="36"/>
          <w:szCs w:val="36"/>
        </w:rPr>
      </w:pPr>
    </w:p>
    <w:p w:rsidR="00245FAD" w:rsidRDefault="00602FAA" w:rsidP="00245FAD">
      <w:pPr>
        <w:pStyle w:val="Heading1"/>
      </w:pPr>
      <w:r>
        <w:rPr>
          <w:b/>
          <w:sz w:val="36"/>
          <w:szCs w:val="36"/>
        </w:rPr>
        <w:br w:type="page"/>
      </w:r>
      <w:r w:rsidR="003007AB">
        <w:lastRenderedPageBreak/>
        <w:t>Appendix B</w:t>
      </w:r>
    </w:p>
    <w:p w:rsidR="003007AB" w:rsidRDefault="003007AB" w:rsidP="00245FAD">
      <w:pPr>
        <w:tabs>
          <w:tab w:val="left" w:pos="5760"/>
        </w:tabs>
        <w:rPr>
          <w:rFonts w:ascii="Verdana" w:hAnsi="Verdana"/>
          <w:sz w:val="32"/>
          <w:szCs w:val="32"/>
        </w:rPr>
      </w:pPr>
    </w:p>
    <w:p w:rsidR="00245FAD" w:rsidRDefault="00245FAD" w:rsidP="00245FAD">
      <w:pPr>
        <w:tabs>
          <w:tab w:val="left" w:pos="5760"/>
        </w:tabs>
        <w:rPr>
          <w:rFonts w:ascii="Verdana" w:hAnsi="Verdana"/>
          <w:sz w:val="32"/>
          <w:szCs w:val="32"/>
        </w:rPr>
      </w:pPr>
      <w:r>
        <w:rPr>
          <w:rFonts w:ascii="Verdana" w:hAnsi="Verdana"/>
          <w:sz w:val="32"/>
          <w:szCs w:val="32"/>
        </w:rPr>
        <w:t>Selecting Risk Factors</w:t>
      </w:r>
    </w:p>
    <w:p w:rsidR="00245FAD" w:rsidRDefault="00245FAD" w:rsidP="00245FAD">
      <w:pPr>
        <w:tabs>
          <w:tab w:val="left" w:pos="5760"/>
        </w:tabs>
        <w:jc w:val="both"/>
        <w:rPr>
          <w:rFonts w:ascii="Verdana" w:hAnsi="Verdana"/>
          <w:sz w:val="36"/>
          <w:szCs w:val="36"/>
        </w:rPr>
      </w:pPr>
    </w:p>
    <w:p w:rsidR="00245FAD" w:rsidRDefault="00245FAD" w:rsidP="00245FAD">
      <w:pPr>
        <w:tabs>
          <w:tab w:val="left" w:pos="5760"/>
        </w:tabs>
        <w:jc w:val="both"/>
        <w:rPr>
          <w:rFonts w:ascii="Verdana" w:hAnsi="Verdana"/>
          <w:sz w:val="20"/>
          <w:szCs w:val="20"/>
        </w:rPr>
      </w:pPr>
      <w:r>
        <w:rPr>
          <w:rFonts w:ascii="Verdana" w:hAnsi="Verdana"/>
          <w:sz w:val="20"/>
          <w:szCs w:val="20"/>
        </w:rPr>
        <w:t>Internal auditors use risk factors to identify the inherent risks associated with auditable activities.  Generally, any inherent risk can be used as a risk factor.</w:t>
      </w:r>
    </w:p>
    <w:p w:rsidR="00245FAD" w:rsidRDefault="00245FAD" w:rsidP="00245FAD">
      <w:pPr>
        <w:tabs>
          <w:tab w:val="left" w:pos="5760"/>
        </w:tabs>
        <w:jc w:val="both"/>
        <w:rPr>
          <w:rFonts w:ascii="Verdana" w:hAnsi="Verdana"/>
          <w:sz w:val="20"/>
          <w:szCs w:val="20"/>
        </w:rPr>
      </w:pPr>
    </w:p>
    <w:p w:rsidR="00245FAD" w:rsidRDefault="00245FAD" w:rsidP="00245FAD">
      <w:pPr>
        <w:jc w:val="both"/>
        <w:rPr>
          <w:rFonts w:ascii="Verdana" w:hAnsi="Verdana"/>
          <w:sz w:val="20"/>
          <w:szCs w:val="20"/>
        </w:rPr>
      </w:pPr>
      <w:r>
        <w:rPr>
          <w:rFonts w:ascii="Verdana" w:hAnsi="Verdana"/>
          <w:sz w:val="20"/>
          <w:szCs w:val="20"/>
        </w:rPr>
        <w:t xml:space="preserve">From the Red Book: </w:t>
      </w:r>
    </w:p>
    <w:p w:rsidR="00245FAD" w:rsidRDefault="00245FAD" w:rsidP="00245FAD">
      <w:pPr>
        <w:jc w:val="both"/>
        <w:rPr>
          <w:rFonts w:ascii="Verdana" w:hAnsi="Verdana"/>
          <w:sz w:val="20"/>
          <w:szCs w:val="20"/>
        </w:rPr>
      </w:pPr>
    </w:p>
    <w:p w:rsidR="00245FAD" w:rsidRDefault="00245FAD" w:rsidP="00245FAD">
      <w:pPr>
        <w:pBdr>
          <w:top w:val="single" w:sz="4" w:space="1" w:color="auto"/>
          <w:left w:val="single" w:sz="4" w:space="4" w:color="auto"/>
          <w:bottom w:val="single" w:sz="4" w:space="1" w:color="auto"/>
          <w:right w:val="single" w:sz="4" w:space="4" w:color="auto"/>
        </w:pBdr>
        <w:tabs>
          <w:tab w:val="left" w:pos="5760"/>
        </w:tabs>
        <w:ind w:left="1080" w:hanging="360"/>
        <w:rPr>
          <w:rFonts w:ascii="Verdana" w:hAnsi="Verdana"/>
          <w:b/>
        </w:rPr>
      </w:pPr>
    </w:p>
    <w:p w:rsidR="00245FAD" w:rsidRDefault="00245FAD" w:rsidP="00245FAD">
      <w:pPr>
        <w:pBdr>
          <w:top w:val="single" w:sz="4" w:space="1" w:color="auto"/>
          <w:left w:val="single" w:sz="4" w:space="4" w:color="auto"/>
          <w:bottom w:val="single" w:sz="4" w:space="1" w:color="auto"/>
          <w:right w:val="single" w:sz="4" w:space="4" w:color="auto"/>
        </w:pBdr>
        <w:tabs>
          <w:tab w:val="left" w:pos="5760"/>
        </w:tabs>
        <w:ind w:left="1080" w:hanging="360"/>
        <w:rPr>
          <w:rFonts w:ascii="Verdana" w:hAnsi="Verdana"/>
          <w:b/>
        </w:rPr>
      </w:pPr>
      <w:r>
        <w:rPr>
          <w:rFonts w:ascii="Verdana" w:hAnsi="Verdana"/>
          <w:b/>
        </w:rPr>
        <w:t>Risk Factors May Include</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Ethical climate and pressure on management to meet objectives.</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Competence, adequacy, and integrity of personnel.</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Asset size, liquidity, or transaction volume.</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Financial and economic conditions.</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Competitive conditions.</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Complexity of volatility of activities.</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Impact of customers, suppliers, and government regulation.</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Degree of computerized information systems.</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Geographical dispersion of operations.</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Adequacy and effectiveness of the system of internal controls.</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Organizational, operational, technological, or economic changes.</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Management judgments and accounting estimates.</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Acceptance of audit findings and corrective action taken.</w:t>
      </w:r>
    </w:p>
    <w:p w:rsidR="00245FAD" w:rsidRDefault="00245FAD" w:rsidP="00245FAD">
      <w:pPr>
        <w:numPr>
          <w:ilvl w:val="2"/>
          <w:numId w:val="2"/>
        </w:numPr>
        <w:pBdr>
          <w:top w:val="single" w:sz="4" w:space="1" w:color="auto"/>
          <w:left w:val="single" w:sz="4" w:space="4" w:color="auto"/>
          <w:bottom w:val="single" w:sz="4" w:space="1" w:color="auto"/>
          <w:right w:val="single" w:sz="4" w:space="4" w:color="auto"/>
        </w:pBdr>
        <w:tabs>
          <w:tab w:val="clear" w:pos="2340"/>
          <w:tab w:val="num" w:pos="1080"/>
          <w:tab w:val="left" w:pos="5760"/>
        </w:tabs>
        <w:spacing w:after="0" w:line="240" w:lineRule="auto"/>
        <w:ind w:left="1080"/>
        <w:rPr>
          <w:rFonts w:ascii="Verdana" w:hAnsi="Verdana"/>
          <w:sz w:val="20"/>
          <w:szCs w:val="20"/>
        </w:rPr>
      </w:pPr>
      <w:r>
        <w:rPr>
          <w:rFonts w:ascii="Verdana" w:hAnsi="Verdana"/>
          <w:sz w:val="20"/>
          <w:szCs w:val="20"/>
        </w:rPr>
        <w:t>Date and results of previous audits.</w:t>
      </w:r>
    </w:p>
    <w:p w:rsidR="00245FAD" w:rsidRDefault="00245FAD" w:rsidP="00245FAD">
      <w:pPr>
        <w:pBdr>
          <w:top w:val="single" w:sz="4" w:space="1" w:color="auto"/>
          <w:left w:val="single" w:sz="4" w:space="4" w:color="auto"/>
          <w:bottom w:val="single" w:sz="4" w:space="1" w:color="auto"/>
          <w:right w:val="single" w:sz="4" w:space="4" w:color="auto"/>
        </w:pBdr>
        <w:tabs>
          <w:tab w:val="num" w:pos="1080"/>
          <w:tab w:val="left" w:pos="5760"/>
        </w:tabs>
        <w:ind w:left="1080" w:hanging="360"/>
        <w:rPr>
          <w:rFonts w:ascii="Verdana" w:hAnsi="Verdana"/>
          <w:sz w:val="20"/>
          <w:szCs w:val="20"/>
        </w:rPr>
      </w:pPr>
    </w:p>
    <w:p w:rsidR="00245FAD" w:rsidRDefault="00245FAD" w:rsidP="00245FAD">
      <w:pPr>
        <w:pBdr>
          <w:top w:val="single" w:sz="4" w:space="1" w:color="auto"/>
          <w:left w:val="single" w:sz="4" w:space="4" w:color="auto"/>
          <w:bottom w:val="single" w:sz="4" w:space="1" w:color="auto"/>
          <w:right w:val="single" w:sz="4" w:space="4" w:color="auto"/>
        </w:pBdr>
        <w:tabs>
          <w:tab w:val="num" w:pos="1080"/>
          <w:tab w:val="left" w:pos="5760"/>
        </w:tabs>
        <w:ind w:left="1080" w:hanging="360"/>
        <w:rPr>
          <w:rFonts w:ascii="Verdana" w:hAnsi="Verdana"/>
          <w:sz w:val="20"/>
          <w:szCs w:val="20"/>
        </w:rPr>
      </w:pPr>
      <w:r>
        <w:rPr>
          <w:rFonts w:ascii="Verdana" w:hAnsi="Verdana"/>
          <w:sz w:val="20"/>
          <w:szCs w:val="20"/>
        </w:rPr>
        <w:t xml:space="preserve">Source: Institute of Internal Auditors, </w:t>
      </w:r>
      <w:r>
        <w:rPr>
          <w:rFonts w:ascii="Verdana" w:hAnsi="Verdana"/>
          <w:sz w:val="20"/>
          <w:szCs w:val="20"/>
          <w:u w:val="single"/>
        </w:rPr>
        <w:t>Standards for the Professional</w:t>
      </w:r>
      <w:r>
        <w:rPr>
          <w:rFonts w:ascii="Verdana" w:hAnsi="Verdana"/>
          <w:sz w:val="20"/>
          <w:szCs w:val="20"/>
        </w:rPr>
        <w:t xml:space="preserve"> </w:t>
      </w:r>
      <w:r>
        <w:rPr>
          <w:rFonts w:ascii="Verdana" w:hAnsi="Verdana"/>
          <w:sz w:val="20"/>
          <w:szCs w:val="20"/>
          <w:u w:val="single"/>
        </w:rPr>
        <w:t>Practice of Internal Auditing</w:t>
      </w:r>
    </w:p>
    <w:p w:rsidR="00245FAD" w:rsidRDefault="00245FAD" w:rsidP="00245FAD">
      <w:pPr>
        <w:pBdr>
          <w:top w:val="single" w:sz="4" w:space="1" w:color="auto"/>
          <w:left w:val="single" w:sz="4" w:space="4" w:color="auto"/>
          <w:bottom w:val="single" w:sz="4" w:space="1" w:color="auto"/>
          <w:right w:val="single" w:sz="4" w:space="4" w:color="auto"/>
        </w:pBdr>
        <w:tabs>
          <w:tab w:val="num" w:pos="1080"/>
          <w:tab w:val="left" w:pos="5760"/>
        </w:tabs>
        <w:ind w:left="1080" w:hanging="360"/>
        <w:rPr>
          <w:rFonts w:ascii="Verdana" w:hAnsi="Verdana"/>
          <w:sz w:val="20"/>
          <w:szCs w:val="20"/>
        </w:rPr>
      </w:pPr>
    </w:p>
    <w:p w:rsidR="00245FAD" w:rsidRDefault="00245FAD" w:rsidP="00245FAD">
      <w:pPr>
        <w:tabs>
          <w:tab w:val="left" w:pos="5760"/>
        </w:tabs>
        <w:jc w:val="center"/>
        <w:rPr>
          <w:rFonts w:ascii="Verdana" w:hAnsi="Verdana"/>
          <w:sz w:val="20"/>
          <w:szCs w:val="20"/>
        </w:rPr>
      </w:pPr>
    </w:p>
    <w:p w:rsidR="00245FAD" w:rsidRDefault="00245FAD" w:rsidP="00245FAD">
      <w:pPr>
        <w:jc w:val="both"/>
        <w:rPr>
          <w:rFonts w:ascii="Verdana" w:hAnsi="Verdana"/>
          <w:sz w:val="20"/>
          <w:szCs w:val="20"/>
        </w:rPr>
      </w:pPr>
    </w:p>
    <w:p w:rsidR="00245FAD" w:rsidRDefault="00245FAD" w:rsidP="00245FAD">
      <w:pPr>
        <w:jc w:val="both"/>
        <w:rPr>
          <w:rFonts w:ascii="Verdana" w:hAnsi="Verdana"/>
          <w:sz w:val="20"/>
          <w:szCs w:val="20"/>
          <w:u w:val="single"/>
        </w:rPr>
      </w:pPr>
    </w:p>
    <w:p w:rsidR="003007AB" w:rsidRDefault="003007AB" w:rsidP="00245FAD">
      <w:pPr>
        <w:jc w:val="both"/>
        <w:rPr>
          <w:rFonts w:ascii="Verdana" w:hAnsi="Verdana"/>
          <w:b/>
        </w:rPr>
      </w:pPr>
    </w:p>
    <w:p w:rsidR="00245FAD" w:rsidRDefault="00245FAD" w:rsidP="00245FAD">
      <w:pPr>
        <w:jc w:val="both"/>
        <w:rPr>
          <w:rFonts w:ascii="Verdana" w:hAnsi="Verdana"/>
          <w:b/>
        </w:rPr>
      </w:pPr>
      <w:r>
        <w:rPr>
          <w:rFonts w:ascii="Verdana" w:hAnsi="Verdana"/>
          <w:b/>
        </w:rPr>
        <w:lastRenderedPageBreak/>
        <w:t>Tips:  In general, select risk factors that:</w:t>
      </w:r>
    </w:p>
    <w:p w:rsidR="00245FAD" w:rsidRDefault="00245FAD" w:rsidP="00245FAD">
      <w:pPr>
        <w:jc w:val="both"/>
        <w:rPr>
          <w:rFonts w:ascii="Verdana" w:hAnsi="Verdana"/>
          <w:sz w:val="20"/>
          <w:szCs w:val="20"/>
          <w:u w:val="single"/>
        </w:rPr>
      </w:pPr>
    </w:p>
    <w:p w:rsidR="00245FAD" w:rsidRDefault="00245FAD" w:rsidP="00245FAD">
      <w:pPr>
        <w:numPr>
          <w:ilvl w:val="0"/>
          <w:numId w:val="3"/>
        </w:numPr>
        <w:spacing w:after="0" w:line="240" w:lineRule="auto"/>
        <w:jc w:val="both"/>
        <w:rPr>
          <w:rFonts w:ascii="Verdana" w:hAnsi="Verdana"/>
          <w:sz w:val="20"/>
          <w:szCs w:val="20"/>
        </w:rPr>
      </w:pPr>
      <w:r>
        <w:rPr>
          <w:rFonts w:ascii="Verdana" w:hAnsi="Verdana"/>
          <w:sz w:val="20"/>
          <w:szCs w:val="20"/>
        </w:rPr>
        <w:t>Represent the inherent risk factors of the organization</w:t>
      </w:r>
    </w:p>
    <w:p w:rsidR="00245FAD" w:rsidRDefault="00FC15AF" w:rsidP="00245FAD">
      <w:pPr>
        <w:numPr>
          <w:ilvl w:val="0"/>
          <w:numId w:val="3"/>
        </w:numPr>
        <w:spacing w:after="0" w:line="240" w:lineRule="auto"/>
        <w:jc w:val="both"/>
        <w:rPr>
          <w:rFonts w:ascii="Verdana" w:hAnsi="Verdana"/>
          <w:sz w:val="20"/>
          <w:szCs w:val="20"/>
        </w:rPr>
      </w:pPr>
      <w:r>
        <w:rPr>
          <w:rFonts w:ascii="Verdana" w:hAnsi="Verdana"/>
          <w:sz w:val="20"/>
          <w:szCs w:val="20"/>
        </w:rPr>
        <w:t xml:space="preserve">Help prioritize </w:t>
      </w:r>
      <w:r w:rsidR="00245FAD">
        <w:rPr>
          <w:rFonts w:ascii="Verdana" w:hAnsi="Verdana"/>
          <w:sz w:val="20"/>
          <w:szCs w:val="20"/>
        </w:rPr>
        <w:t xml:space="preserve">auditable activities </w:t>
      </w:r>
      <w:r>
        <w:rPr>
          <w:rFonts w:ascii="Verdana" w:hAnsi="Verdana"/>
          <w:sz w:val="20"/>
          <w:szCs w:val="20"/>
        </w:rPr>
        <w:t>or issues for fieldwork</w:t>
      </w:r>
    </w:p>
    <w:p w:rsidR="00245FAD" w:rsidRDefault="00FC15AF" w:rsidP="00245FAD">
      <w:pPr>
        <w:numPr>
          <w:ilvl w:val="0"/>
          <w:numId w:val="3"/>
        </w:numPr>
        <w:spacing w:after="0" w:line="240" w:lineRule="auto"/>
        <w:jc w:val="both"/>
        <w:rPr>
          <w:rFonts w:ascii="Verdana" w:hAnsi="Verdana"/>
          <w:sz w:val="20"/>
          <w:szCs w:val="20"/>
        </w:rPr>
      </w:pPr>
      <w:r>
        <w:rPr>
          <w:rFonts w:ascii="Verdana" w:hAnsi="Verdana"/>
          <w:sz w:val="20"/>
          <w:szCs w:val="20"/>
        </w:rPr>
        <w:t xml:space="preserve">Can be </w:t>
      </w:r>
      <w:r w:rsidR="00245FAD">
        <w:rPr>
          <w:rFonts w:ascii="Verdana" w:hAnsi="Verdana"/>
          <w:sz w:val="20"/>
          <w:szCs w:val="20"/>
        </w:rPr>
        <w:t>measured for each auditable activity</w:t>
      </w:r>
    </w:p>
    <w:p w:rsidR="00245FAD" w:rsidRDefault="00245FAD" w:rsidP="00245FAD">
      <w:pPr>
        <w:jc w:val="both"/>
        <w:rPr>
          <w:rFonts w:ascii="Verdana" w:hAnsi="Verdana"/>
          <w:sz w:val="20"/>
          <w:szCs w:val="20"/>
        </w:rPr>
      </w:pPr>
    </w:p>
    <w:p w:rsidR="00245FAD" w:rsidRDefault="00245FAD" w:rsidP="00245FAD">
      <w:pPr>
        <w:jc w:val="both"/>
        <w:rPr>
          <w:rFonts w:ascii="Verdana" w:hAnsi="Verdana"/>
          <w:b/>
        </w:rPr>
      </w:pPr>
      <w:r>
        <w:rPr>
          <w:rFonts w:ascii="Verdana" w:hAnsi="Verdana"/>
          <w:b/>
        </w:rPr>
        <w:t>Tips:  To identify risk factors:</w:t>
      </w:r>
    </w:p>
    <w:p w:rsidR="00245FAD" w:rsidRDefault="00245FAD" w:rsidP="00245FAD">
      <w:pPr>
        <w:numPr>
          <w:ilvl w:val="0"/>
          <w:numId w:val="4"/>
        </w:numPr>
        <w:spacing w:after="0" w:line="240" w:lineRule="auto"/>
        <w:jc w:val="both"/>
        <w:rPr>
          <w:rFonts w:ascii="Verdana" w:hAnsi="Verdana"/>
          <w:sz w:val="20"/>
          <w:szCs w:val="20"/>
        </w:rPr>
      </w:pPr>
      <w:r>
        <w:rPr>
          <w:rFonts w:ascii="Verdana" w:hAnsi="Verdana"/>
          <w:sz w:val="20"/>
          <w:szCs w:val="20"/>
        </w:rPr>
        <w:t>Management’s input</w:t>
      </w:r>
    </w:p>
    <w:p w:rsidR="00245FAD" w:rsidRDefault="00245FAD" w:rsidP="00245FAD">
      <w:pPr>
        <w:numPr>
          <w:ilvl w:val="0"/>
          <w:numId w:val="4"/>
        </w:numPr>
        <w:spacing w:after="0" w:line="240" w:lineRule="auto"/>
        <w:jc w:val="both"/>
        <w:rPr>
          <w:rFonts w:ascii="Verdana" w:hAnsi="Verdana"/>
          <w:sz w:val="20"/>
          <w:szCs w:val="20"/>
        </w:rPr>
      </w:pPr>
      <w:r>
        <w:rPr>
          <w:rFonts w:ascii="Verdana" w:hAnsi="Verdana"/>
          <w:sz w:val="20"/>
          <w:szCs w:val="20"/>
        </w:rPr>
        <w:t>Input from other stakeholders, such as governing board or elected officials</w:t>
      </w:r>
    </w:p>
    <w:p w:rsidR="00245FAD" w:rsidRDefault="00FC15AF" w:rsidP="00245FAD">
      <w:pPr>
        <w:numPr>
          <w:ilvl w:val="0"/>
          <w:numId w:val="4"/>
        </w:numPr>
        <w:spacing w:after="0" w:line="240" w:lineRule="auto"/>
        <w:jc w:val="both"/>
        <w:rPr>
          <w:rFonts w:ascii="Verdana" w:hAnsi="Verdana"/>
          <w:sz w:val="20"/>
          <w:szCs w:val="20"/>
        </w:rPr>
      </w:pPr>
      <w:r>
        <w:rPr>
          <w:rFonts w:ascii="Verdana" w:hAnsi="Verdana"/>
          <w:sz w:val="20"/>
          <w:szCs w:val="20"/>
        </w:rPr>
        <w:t>Advice from investigators, lawyers, and criminal justice officials</w:t>
      </w:r>
    </w:p>
    <w:p w:rsidR="00245FAD" w:rsidRDefault="00245FAD" w:rsidP="00245FAD">
      <w:pPr>
        <w:numPr>
          <w:ilvl w:val="1"/>
          <w:numId w:val="4"/>
        </w:numPr>
        <w:spacing w:after="0" w:line="240" w:lineRule="auto"/>
        <w:jc w:val="both"/>
        <w:rPr>
          <w:rFonts w:ascii="Verdana" w:hAnsi="Verdana"/>
          <w:sz w:val="20"/>
        </w:rPr>
      </w:pPr>
      <w:r>
        <w:rPr>
          <w:rFonts w:ascii="Verdana" w:hAnsi="Verdana"/>
          <w:sz w:val="20"/>
        </w:rPr>
        <w:t>Performance measures</w:t>
      </w:r>
    </w:p>
    <w:p w:rsidR="003F50F6" w:rsidRDefault="003F50F6" w:rsidP="00405810">
      <w:pPr>
        <w:pStyle w:val="Heading1"/>
        <w:rPr>
          <w:b/>
          <w:sz w:val="32"/>
          <w:szCs w:val="32"/>
        </w:rPr>
      </w:pPr>
    </w:p>
    <w:p w:rsidR="003F50F6" w:rsidRDefault="003F50F6" w:rsidP="00405810">
      <w:pPr>
        <w:pStyle w:val="Heading1"/>
        <w:rPr>
          <w:b/>
          <w:sz w:val="32"/>
          <w:szCs w:val="32"/>
        </w:rPr>
      </w:pPr>
    </w:p>
    <w:p w:rsidR="00CA78BA" w:rsidRDefault="00CA78BA" w:rsidP="00405810">
      <w:pPr>
        <w:pStyle w:val="Heading1"/>
        <w:rPr>
          <w:b/>
          <w:sz w:val="32"/>
          <w:szCs w:val="32"/>
        </w:rPr>
      </w:pPr>
      <w:r>
        <w:rPr>
          <w:b/>
          <w:sz w:val="32"/>
          <w:szCs w:val="32"/>
        </w:rPr>
        <w:t xml:space="preserve">Examples of </w:t>
      </w:r>
      <w:r w:rsidR="00C708F9">
        <w:rPr>
          <w:b/>
          <w:sz w:val="32"/>
          <w:szCs w:val="32"/>
        </w:rPr>
        <w:t>Risk Factors</w:t>
      </w:r>
      <w:r>
        <w:rPr>
          <w:b/>
          <w:sz w:val="32"/>
          <w:szCs w:val="32"/>
        </w:rPr>
        <w:t xml:space="preserve"> for Assessing Inherent Risk:</w:t>
      </w:r>
    </w:p>
    <w:p w:rsidR="00CA78BA" w:rsidRDefault="00CA78BA" w:rsidP="00405810">
      <w:pPr>
        <w:pStyle w:val="Heading1"/>
        <w:rPr>
          <w:b/>
          <w:sz w:val="32"/>
          <w:szCs w:val="32"/>
        </w:rPr>
      </w:pPr>
    </w:p>
    <w:p w:rsidR="00405810" w:rsidRPr="003D20A0" w:rsidRDefault="00405810" w:rsidP="00405810">
      <w:pPr>
        <w:pStyle w:val="Heading1"/>
        <w:rPr>
          <w:b/>
          <w:sz w:val="32"/>
          <w:szCs w:val="32"/>
        </w:rPr>
      </w:pPr>
      <w:r w:rsidRPr="003D20A0">
        <w:rPr>
          <w:b/>
          <w:sz w:val="32"/>
          <w:szCs w:val="32"/>
        </w:rPr>
        <w:t xml:space="preserve">Sensitivity Examples:  </w:t>
      </w:r>
      <w:r w:rsidRPr="003D20A0">
        <w:rPr>
          <w:sz w:val="32"/>
          <w:szCs w:val="32"/>
        </w:rPr>
        <w:t>(1) Embarrassment or (2) Extensive Media Coverage</w:t>
      </w:r>
    </w:p>
    <w:p w:rsidR="005B447D" w:rsidRDefault="005B447D" w:rsidP="00405810">
      <w:pPr>
        <w:rPr>
          <w:rFonts w:ascii="Verdana" w:hAnsi="Verdana"/>
          <w:b/>
          <w:sz w:val="32"/>
          <w:szCs w:val="32"/>
        </w:rPr>
      </w:pPr>
    </w:p>
    <w:p w:rsidR="00405810" w:rsidRPr="003D20A0" w:rsidRDefault="00405810" w:rsidP="00405810">
      <w:pPr>
        <w:rPr>
          <w:rFonts w:ascii="Verdana" w:hAnsi="Verdana"/>
          <w:sz w:val="32"/>
          <w:szCs w:val="32"/>
        </w:rPr>
      </w:pPr>
      <w:r w:rsidRPr="003D20A0">
        <w:rPr>
          <w:rFonts w:ascii="Verdana" w:hAnsi="Verdana"/>
          <w:b/>
          <w:sz w:val="32"/>
          <w:szCs w:val="32"/>
        </w:rPr>
        <w:t xml:space="preserve">Significance Examples:  </w:t>
      </w:r>
      <w:r w:rsidR="005B447D">
        <w:rPr>
          <w:rFonts w:ascii="Verdana" w:hAnsi="Verdana"/>
          <w:sz w:val="32"/>
          <w:szCs w:val="32"/>
        </w:rPr>
        <w:t>(1) Total</w:t>
      </w:r>
      <w:r w:rsidRPr="003D20A0">
        <w:rPr>
          <w:rFonts w:ascii="Verdana" w:hAnsi="Verdana"/>
          <w:sz w:val="32"/>
          <w:szCs w:val="32"/>
        </w:rPr>
        <w:t xml:space="preserve"> investment</w:t>
      </w:r>
      <w:r>
        <w:rPr>
          <w:rFonts w:ascii="Verdana" w:hAnsi="Verdana"/>
          <w:sz w:val="32"/>
          <w:szCs w:val="32"/>
        </w:rPr>
        <w:t xml:space="preserve"> </w:t>
      </w:r>
      <w:r w:rsidRPr="003D20A0">
        <w:rPr>
          <w:rFonts w:ascii="Verdana" w:hAnsi="Verdana"/>
          <w:sz w:val="32"/>
          <w:szCs w:val="32"/>
        </w:rPr>
        <w:t>or (2) Potential loss of human life or serious injury</w:t>
      </w:r>
    </w:p>
    <w:p w:rsidR="00405810" w:rsidRPr="003D20A0" w:rsidRDefault="00405810" w:rsidP="00405810">
      <w:pPr>
        <w:rPr>
          <w:rFonts w:ascii="Verdana" w:hAnsi="Verdana"/>
          <w:sz w:val="32"/>
          <w:szCs w:val="32"/>
        </w:rPr>
      </w:pPr>
      <w:r w:rsidRPr="003D20A0">
        <w:rPr>
          <w:rFonts w:ascii="Verdana" w:hAnsi="Verdana"/>
          <w:b/>
          <w:sz w:val="32"/>
          <w:szCs w:val="32"/>
        </w:rPr>
        <w:t xml:space="preserve">Susceptibility Examples:  </w:t>
      </w:r>
      <w:r w:rsidRPr="003D20A0">
        <w:rPr>
          <w:rFonts w:ascii="Verdana" w:hAnsi="Verdana"/>
          <w:sz w:val="32"/>
          <w:szCs w:val="32"/>
        </w:rPr>
        <w:t>(1) Lots</w:t>
      </w:r>
      <w:r>
        <w:rPr>
          <w:rFonts w:ascii="Verdana" w:hAnsi="Verdana"/>
          <w:sz w:val="32"/>
          <w:szCs w:val="32"/>
        </w:rPr>
        <w:t xml:space="preserve"> </w:t>
      </w:r>
      <w:r w:rsidRPr="003D20A0">
        <w:rPr>
          <w:rFonts w:ascii="Verdana" w:hAnsi="Verdana"/>
          <w:sz w:val="32"/>
          <w:szCs w:val="32"/>
        </w:rPr>
        <w:t>of cash or (2) lack of cause/effect relationships between IPPO (experimental government program</w:t>
      </w:r>
      <w:r w:rsidR="00FC15AF">
        <w:rPr>
          <w:rFonts w:ascii="Verdana" w:hAnsi="Verdana"/>
          <w:sz w:val="32"/>
          <w:szCs w:val="32"/>
        </w:rPr>
        <w:t xml:space="preserve"> or private sector activity</w:t>
      </w:r>
      <w:r w:rsidRPr="003D20A0">
        <w:rPr>
          <w:rFonts w:ascii="Verdana" w:hAnsi="Verdana"/>
          <w:sz w:val="32"/>
          <w:szCs w:val="32"/>
        </w:rPr>
        <w:t>)</w:t>
      </w:r>
    </w:p>
    <w:p w:rsidR="00972DA1" w:rsidRDefault="00972DA1" w:rsidP="00245FAD">
      <w:pPr>
        <w:pStyle w:val="Heading1"/>
        <w:rPr>
          <w:b/>
          <w:sz w:val="32"/>
          <w:szCs w:val="32"/>
        </w:rPr>
      </w:pPr>
    </w:p>
    <w:p w:rsidR="00245FAD" w:rsidRPr="003D20A0" w:rsidRDefault="00FC15AF" w:rsidP="00245FAD">
      <w:pPr>
        <w:pStyle w:val="Heading1"/>
        <w:rPr>
          <w:b/>
          <w:sz w:val="32"/>
          <w:szCs w:val="32"/>
        </w:rPr>
      </w:pPr>
      <w:r>
        <w:rPr>
          <w:b/>
          <w:sz w:val="32"/>
          <w:szCs w:val="32"/>
        </w:rPr>
        <w:t>New IIA Practice Guide on “Internal Auditing and Fraud” lists 12 factors to consider when prioritizing fraud risks including monetary impact, potential criminal/civil actions, and loss of productivity.</w:t>
      </w:r>
    </w:p>
    <w:p w:rsidR="00602FAA" w:rsidRDefault="00602FAA" w:rsidP="00602FAA">
      <w:pPr>
        <w:jc w:val="center"/>
        <w:rPr>
          <w:rFonts w:ascii="Verdana" w:hAnsi="Verdana"/>
          <w:sz w:val="36"/>
          <w:szCs w:val="36"/>
        </w:rPr>
      </w:pPr>
    </w:p>
    <w:p w:rsidR="00AC1669" w:rsidRDefault="00AC1669" w:rsidP="00602FAA">
      <w:pPr>
        <w:jc w:val="center"/>
        <w:rPr>
          <w:rFonts w:ascii="Verdana" w:hAnsi="Verdana"/>
          <w:sz w:val="36"/>
          <w:szCs w:val="36"/>
        </w:rPr>
      </w:pPr>
    </w:p>
    <w:p w:rsidR="00AC1669" w:rsidRPr="00104386" w:rsidRDefault="00104386" w:rsidP="00104386">
      <w:pPr>
        <w:rPr>
          <w:rFonts w:ascii="Verdana" w:hAnsi="Verdana"/>
          <w:b/>
          <w:sz w:val="36"/>
          <w:szCs w:val="36"/>
        </w:rPr>
      </w:pPr>
      <w:r w:rsidRPr="00104386">
        <w:rPr>
          <w:rFonts w:ascii="Verdana" w:hAnsi="Verdana"/>
          <w:b/>
          <w:sz w:val="36"/>
          <w:szCs w:val="36"/>
        </w:rPr>
        <w:lastRenderedPageBreak/>
        <w:t>Appendix C</w:t>
      </w:r>
    </w:p>
    <w:p w:rsidR="004532E3" w:rsidRPr="004532E3" w:rsidRDefault="00CA78BA" w:rsidP="004532E3">
      <w:pPr>
        <w:tabs>
          <w:tab w:val="left" w:pos="2520"/>
        </w:tabs>
        <w:rPr>
          <w:rFonts w:ascii="Verdana" w:hAnsi="Verdana"/>
          <w:b/>
          <w:sz w:val="28"/>
          <w:szCs w:val="28"/>
        </w:rPr>
      </w:pPr>
      <w:r>
        <w:rPr>
          <w:rFonts w:ascii="Verdana" w:hAnsi="Verdana"/>
          <w:b/>
          <w:sz w:val="28"/>
          <w:szCs w:val="28"/>
        </w:rPr>
        <w:t xml:space="preserve">EXAMPLES OF </w:t>
      </w:r>
      <w:r w:rsidR="00B85DE4">
        <w:rPr>
          <w:rFonts w:ascii="Verdana" w:hAnsi="Verdana"/>
          <w:b/>
          <w:sz w:val="28"/>
          <w:szCs w:val="28"/>
        </w:rPr>
        <w:t xml:space="preserve">SPECIFIC </w:t>
      </w:r>
      <w:r>
        <w:rPr>
          <w:rFonts w:ascii="Verdana" w:hAnsi="Verdana"/>
          <w:b/>
          <w:sz w:val="28"/>
          <w:szCs w:val="28"/>
        </w:rPr>
        <w:t xml:space="preserve">CRITERIA FOR ASSESSING INHERENT RISK AND CONROL RISK (VULNERABILITY) </w:t>
      </w:r>
    </w:p>
    <w:p w:rsidR="004532E3" w:rsidRDefault="004532E3" w:rsidP="004532E3">
      <w:pPr>
        <w:tabs>
          <w:tab w:val="left" w:pos="2520"/>
        </w:tabs>
        <w:rPr>
          <w:rFonts w:ascii="Verdana" w:hAnsi="Verdana"/>
          <w:b/>
          <w:sz w:val="36"/>
          <w:szCs w:val="36"/>
        </w:rPr>
      </w:pPr>
    </w:p>
    <w:p w:rsidR="004532E3" w:rsidRDefault="004532E3" w:rsidP="004532E3">
      <w:pPr>
        <w:tabs>
          <w:tab w:val="left" w:pos="2520"/>
        </w:tabs>
        <w:rPr>
          <w:rFonts w:ascii="Verdana" w:hAnsi="Verdana"/>
          <w:b/>
        </w:rPr>
      </w:pPr>
      <w:r>
        <w:rPr>
          <w:rFonts w:ascii="Verdana" w:hAnsi="Verdana"/>
          <w:b/>
        </w:rPr>
        <w:t>RISK RATING CRITERIA</w:t>
      </w:r>
    </w:p>
    <w:p w:rsidR="004532E3" w:rsidRDefault="004532E3" w:rsidP="004532E3">
      <w:pPr>
        <w:tabs>
          <w:tab w:val="left" w:pos="2520"/>
        </w:tabs>
        <w:rPr>
          <w:rFonts w:ascii="Verdana" w:hAnsi="Verdan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4"/>
        <w:gridCol w:w="2952"/>
        <w:gridCol w:w="2952"/>
      </w:tblGrid>
      <w:tr w:rsidR="004532E3" w:rsidTr="00487A6E">
        <w:tc>
          <w:tcPr>
            <w:tcW w:w="2844" w:type="dxa"/>
          </w:tcPr>
          <w:p w:rsidR="004532E3" w:rsidRDefault="004532E3" w:rsidP="00487A6E">
            <w:pPr>
              <w:tabs>
                <w:tab w:val="left" w:pos="2520"/>
              </w:tabs>
              <w:rPr>
                <w:rFonts w:ascii="Verdana" w:hAnsi="Verdana"/>
                <w:b/>
                <w:sz w:val="20"/>
                <w:szCs w:val="20"/>
              </w:rPr>
            </w:pPr>
            <w:r>
              <w:rPr>
                <w:rFonts w:ascii="Verdana" w:hAnsi="Verdana"/>
                <w:b/>
                <w:sz w:val="20"/>
                <w:szCs w:val="20"/>
              </w:rPr>
              <w:t>HIGH</w:t>
            </w:r>
          </w:p>
        </w:tc>
        <w:tc>
          <w:tcPr>
            <w:tcW w:w="2952" w:type="dxa"/>
          </w:tcPr>
          <w:p w:rsidR="004532E3" w:rsidRDefault="004532E3" w:rsidP="00487A6E">
            <w:pPr>
              <w:tabs>
                <w:tab w:val="left" w:pos="2520"/>
              </w:tabs>
              <w:rPr>
                <w:rFonts w:ascii="Verdana" w:hAnsi="Verdana"/>
                <w:b/>
                <w:sz w:val="20"/>
                <w:szCs w:val="20"/>
              </w:rPr>
            </w:pPr>
            <w:r>
              <w:rPr>
                <w:rFonts w:ascii="Verdana" w:hAnsi="Verdana"/>
                <w:b/>
                <w:sz w:val="20"/>
                <w:szCs w:val="20"/>
              </w:rPr>
              <w:t>MEDIUM</w:t>
            </w:r>
          </w:p>
        </w:tc>
        <w:tc>
          <w:tcPr>
            <w:tcW w:w="2952" w:type="dxa"/>
          </w:tcPr>
          <w:p w:rsidR="004532E3" w:rsidRDefault="004532E3" w:rsidP="00487A6E">
            <w:pPr>
              <w:tabs>
                <w:tab w:val="left" w:pos="2520"/>
              </w:tabs>
              <w:rPr>
                <w:rFonts w:ascii="Verdana" w:hAnsi="Verdana"/>
                <w:b/>
                <w:sz w:val="20"/>
                <w:szCs w:val="20"/>
              </w:rPr>
            </w:pPr>
            <w:r>
              <w:rPr>
                <w:rFonts w:ascii="Verdana" w:hAnsi="Verdana"/>
                <w:b/>
                <w:sz w:val="20"/>
                <w:szCs w:val="20"/>
              </w:rPr>
              <w:t>LOW</w:t>
            </w:r>
          </w:p>
        </w:tc>
      </w:tr>
      <w:tr w:rsidR="004532E3" w:rsidTr="00487A6E">
        <w:tc>
          <w:tcPr>
            <w:tcW w:w="2844" w:type="dxa"/>
          </w:tcPr>
          <w:p w:rsidR="004532E3" w:rsidRDefault="004532E3" w:rsidP="00487A6E">
            <w:pPr>
              <w:tabs>
                <w:tab w:val="left" w:pos="2520"/>
              </w:tabs>
              <w:rPr>
                <w:rFonts w:ascii="Verdana" w:hAnsi="Verdana"/>
                <w:sz w:val="20"/>
                <w:szCs w:val="20"/>
              </w:rPr>
            </w:pPr>
            <w:r>
              <w:rPr>
                <w:rFonts w:ascii="Verdana" w:hAnsi="Verdana"/>
                <w:sz w:val="20"/>
                <w:szCs w:val="20"/>
              </w:rPr>
              <w:t>Potential for relatively rapid large financial loss ($500,000 and over)</w:t>
            </w:r>
          </w:p>
        </w:tc>
        <w:tc>
          <w:tcPr>
            <w:tcW w:w="2952" w:type="dxa"/>
          </w:tcPr>
          <w:p w:rsidR="004532E3" w:rsidRDefault="004532E3" w:rsidP="00487A6E">
            <w:pPr>
              <w:tabs>
                <w:tab w:val="left" w:pos="2520"/>
              </w:tabs>
              <w:rPr>
                <w:rFonts w:ascii="Verdana" w:hAnsi="Verdana"/>
                <w:sz w:val="20"/>
                <w:szCs w:val="20"/>
              </w:rPr>
            </w:pPr>
            <w:r>
              <w:rPr>
                <w:rFonts w:ascii="Verdana" w:hAnsi="Verdana"/>
                <w:sz w:val="20"/>
                <w:szCs w:val="20"/>
              </w:rPr>
              <w:t>Potential for midrange rapid financial loss (between $100,000 and $500,000)</w:t>
            </w:r>
          </w:p>
        </w:tc>
        <w:tc>
          <w:tcPr>
            <w:tcW w:w="2952" w:type="dxa"/>
          </w:tcPr>
          <w:p w:rsidR="004532E3" w:rsidRDefault="004532E3" w:rsidP="00487A6E">
            <w:pPr>
              <w:tabs>
                <w:tab w:val="left" w:pos="2520"/>
              </w:tabs>
              <w:rPr>
                <w:rFonts w:ascii="Verdana" w:hAnsi="Verdana"/>
                <w:sz w:val="20"/>
                <w:szCs w:val="20"/>
              </w:rPr>
            </w:pPr>
            <w:r>
              <w:rPr>
                <w:rFonts w:ascii="Verdana" w:hAnsi="Verdana"/>
                <w:sz w:val="20"/>
                <w:szCs w:val="20"/>
              </w:rPr>
              <w:t>Potential dollar loss less than small (less than $100,000)</w:t>
            </w:r>
          </w:p>
        </w:tc>
      </w:tr>
      <w:tr w:rsidR="004532E3" w:rsidTr="00487A6E">
        <w:tc>
          <w:tcPr>
            <w:tcW w:w="2844" w:type="dxa"/>
          </w:tcPr>
          <w:p w:rsidR="004532E3" w:rsidRDefault="004532E3" w:rsidP="00487A6E">
            <w:pPr>
              <w:tabs>
                <w:tab w:val="left" w:pos="2520"/>
              </w:tabs>
              <w:rPr>
                <w:rFonts w:ascii="Verdana" w:hAnsi="Verdana"/>
                <w:sz w:val="20"/>
                <w:szCs w:val="20"/>
              </w:rPr>
            </w:pPr>
            <w:r>
              <w:rPr>
                <w:rFonts w:ascii="Verdana" w:hAnsi="Verdana"/>
                <w:sz w:val="20"/>
                <w:szCs w:val="20"/>
              </w:rPr>
              <w:t>Potential for smaller financial loss ($5000 or less) repeated frequently</w:t>
            </w:r>
          </w:p>
        </w:tc>
        <w:tc>
          <w:tcPr>
            <w:tcW w:w="2952" w:type="dxa"/>
          </w:tcPr>
          <w:p w:rsidR="004532E3" w:rsidRDefault="004532E3" w:rsidP="00487A6E">
            <w:pPr>
              <w:tabs>
                <w:tab w:val="left" w:pos="2520"/>
              </w:tabs>
              <w:rPr>
                <w:rFonts w:ascii="Verdana" w:hAnsi="Verdana"/>
                <w:sz w:val="20"/>
                <w:szCs w:val="20"/>
              </w:rPr>
            </w:pPr>
            <w:r>
              <w:rPr>
                <w:rFonts w:ascii="Verdana" w:hAnsi="Verdana"/>
                <w:sz w:val="20"/>
                <w:szCs w:val="20"/>
              </w:rPr>
              <w:t>Potential for smaller financial loss ($5000 or less) repeated with moderate frequency</w:t>
            </w:r>
          </w:p>
        </w:tc>
        <w:tc>
          <w:tcPr>
            <w:tcW w:w="2952" w:type="dxa"/>
          </w:tcPr>
          <w:p w:rsidR="004532E3" w:rsidRDefault="004532E3" w:rsidP="00487A6E">
            <w:pPr>
              <w:tabs>
                <w:tab w:val="left" w:pos="2520"/>
              </w:tabs>
              <w:rPr>
                <w:rFonts w:ascii="Verdana" w:hAnsi="Verdana"/>
                <w:sz w:val="20"/>
                <w:szCs w:val="20"/>
              </w:rPr>
            </w:pPr>
          </w:p>
        </w:tc>
      </w:tr>
      <w:tr w:rsidR="004532E3" w:rsidTr="00487A6E">
        <w:tc>
          <w:tcPr>
            <w:tcW w:w="2844" w:type="dxa"/>
          </w:tcPr>
          <w:p w:rsidR="004532E3" w:rsidRDefault="004532E3" w:rsidP="00487A6E">
            <w:pPr>
              <w:tabs>
                <w:tab w:val="left" w:pos="2520"/>
              </w:tabs>
              <w:rPr>
                <w:rFonts w:ascii="Verdana" w:hAnsi="Verdana"/>
                <w:sz w:val="20"/>
                <w:szCs w:val="20"/>
              </w:rPr>
            </w:pPr>
            <w:r>
              <w:rPr>
                <w:rFonts w:ascii="Verdana" w:hAnsi="Verdana"/>
                <w:sz w:val="20"/>
                <w:szCs w:val="20"/>
              </w:rPr>
              <w:t>Serious consequences such as loss of life or limb</w:t>
            </w:r>
          </w:p>
        </w:tc>
        <w:tc>
          <w:tcPr>
            <w:tcW w:w="2952" w:type="dxa"/>
          </w:tcPr>
          <w:p w:rsidR="004532E3" w:rsidRDefault="004532E3" w:rsidP="00487A6E">
            <w:pPr>
              <w:tabs>
                <w:tab w:val="left" w:pos="2520"/>
              </w:tabs>
              <w:rPr>
                <w:rFonts w:ascii="Verdana" w:hAnsi="Verdana"/>
                <w:sz w:val="20"/>
                <w:szCs w:val="20"/>
              </w:rPr>
            </w:pPr>
            <w:r>
              <w:rPr>
                <w:rFonts w:ascii="Verdana" w:hAnsi="Verdana"/>
                <w:sz w:val="20"/>
                <w:szCs w:val="20"/>
              </w:rPr>
              <w:t>Inconvenience as opposed to health impact</w:t>
            </w:r>
          </w:p>
        </w:tc>
        <w:tc>
          <w:tcPr>
            <w:tcW w:w="2952" w:type="dxa"/>
          </w:tcPr>
          <w:p w:rsidR="004532E3" w:rsidRDefault="004532E3" w:rsidP="00487A6E">
            <w:pPr>
              <w:tabs>
                <w:tab w:val="left" w:pos="2520"/>
              </w:tabs>
              <w:rPr>
                <w:rFonts w:ascii="Verdana" w:hAnsi="Verdana"/>
                <w:sz w:val="20"/>
                <w:szCs w:val="20"/>
              </w:rPr>
            </w:pPr>
          </w:p>
        </w:tc>
      </w:tr>
      <w:tr w:rsidR="004532E3" w:rsidTr="00487A6E">
        <w:tc>
          <w:tcPr>
            <w:tcW w:w="2844" w:type="dxa"/>
          </w:tcPr>
          <w:p w:rsidR="004532E3" w:rsidRDefault="004532E3" w:rsidP="00487A6E">
            <w:pPr>
              <w:tabs>
                <w:tab w:val="left" w:pos="2520"/>
              </w:tabs>
              <w:rPr>
                <w:rFonts w:ascii="Verdana" w:hAnsi="Verdana"/>
                <w:sz w:val="20"/>
                <w:szCs w:val="20"/>
              </w:rPr>
            </w:pPr>
            <w:r>
              <w:rPr>
                <w:rFonts w:ascii="Verdana" w:hAnsi="Verdana"/>
                <w:sz w:val="20"/>
                <w:szCs w:val="20"/>
              </w:rPr>
              <w:t>Noncompliance with laws and regulations</w:t>
            </w:r>
          </w:p>
        </w:tc>
        <w:tc>
          <w:tcPr>
            <w:tcW w:w="2952" w:type="dxa"/>
          </w:tcPr>
          <w:p w:rsidR="004532E3" w:rsidRDefault="004532E3" w:rsidP="00487A6E">
            <w:pPr>
              <w:tabs>
                <w:tab w:val="left" w:pos="2520"/>
              </w:tabs>
              <w:rPr>
                <w:rFonts w:ascii="Verdana" w:hAnsi="Verdana"/>
                <w:sz w:val="20"/>
                <w:szCs w:val="20"/>
              </w:rPr>
            </w:pPr>
            <w:r>
              <w:rPr>
                <w:rFonts w:ascii="Verdana" w:hAnsi="Verdana"/>
                <w:sz w:val="20"/>
                <w:szCs w:val="20"/>
              </w:rPr>
              <w:t>Equity issue but not required by law</w:t>
            </w:r>
          </w:p>
        </w:tc>
        <w:tc>
          <w:tcPr>
            <w:tcW w:w="2952" w:type="dxa"/>
          </w:tcPr>
          <w:p w:rsidR="004532E3" w:rsidRDefault="004532E3" w:rsidP="00487A6E">
            <w:pPr>
              <w:tabs>
                <w:tab w:val="left" w:pos="2520"/>
              </w:tabs>
              <w:rPr>
                <w:rFonts w:ascii="Verdana" w:hAnsi="Verdana"/>
                <w:sz w:val="20"/>
                <w:szCs w:val="20"/>
              </w:rPr>
            </w:pPr>
          </w:p>
        </w:tc>
      </w:tr>
    </w:tbl>
    <w:p w:rsidR="004532E3" w:rsidRDefault="004532E3" w:rsidP="004532E3">
      <w:pPr>
        <w:tabs>
          <w:tab w:val="left" w:pos="2520"/>
        </w:tabs>
        <w:rPr>
          <w:rFonts w:ascii="Verdana" w:hAnsi="Verdana"/>
          <w:b/>
          <w:sz w:val="20"/>
          <w:szCs w:val="20"/>
        </w:rPr>
      </w:pPr>
    </w:p>
    <w:p w:rsidR="004532E3" w:rsidRDefault="004532E3" w:rsidP="004532E3">
      <w:pPr>
        <w:tabs>
          <w:tab w:val="left" w:pos="2520"/>
        </w:tabs>
        <w:rPr>
          <w:rFonts w:ascii="Verdana" w:hAnsi="Verdana"/>
          <w:sz w:val="20"/>
          <w:szCs w:val="20"/>
        </w:rPr>
      </w:pPr>
    </w:p>
    <w:p w:rsidR="004532E3" w:rsidRDefault="004532E3" w:rsidP="004532E3">
      <w:pPr>
        <w:tabs>
          <w:tab w:val="left" w:pos="2520"/>
        </w:tabs>
        <w:rPr>
          <w:rFonts w:ascii="Verdana" w:hAnsi="Verdana"/>
          <w:b/>
        </w:rPr>
      </w:pPr>
      <w:r>
        <w:rPr>
          <w:rFonts w:ascii="Verdana" w:hAnsi="Verdana"/>
          <w:b/>
        </w:rPr>
        <w:t>VULNERABILITY RATING CRITERIA</w:t>
      </w:r>
      <w:r>
        <w:rPr>
          <w:rFonts w:ascii="Verdana" w:hAnsi="Verdana"/>
          <w:b/>
        </w:rPr>
        <w:tab/>
      </w:r>
    </w:p>
    <w:p w:rsidR="004532E3" w:rsidRDefault="004532E3" w:rsidP="004532E3">
      <w:pPr>
        <w:tabs>
          <w:tab w:val="left" w:pos="2520"/>
        </w:tabs>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4"/>
        <w:gridCol w:w="2952"/>
        <w:gridCol w:w="2952"/>
      </w:tblGrid>
      <w:tr w:rsidR="004532E3" w:rsidTr="00487A6E">
        <w:tc>
          <w:tcPr>
            <w:tcW w:w="2844" w:type="dxa"/>
          </w:tcPr>
          <w:p w:rsidR="004532E3" w:rsidRDefault="004532E3" w:rsidP="00487A6E">
            <w:pPr>
              <w:tabs>
                <w:tab w:val="left" w:pos="2520"/>
              </w:tabs>
              <w:rPr>
                <w:rFonts w:ascii="Verdana" w:hAnsi="Verdana"/>
                <w:b/>
                <w:sz w:val="20"/>
                <w:szCs w:val="20"/>
              </w:rPr>
            </w:pPr>
            <w:r>
              <w:rPr>
                <w:rFonts w:ascii="Verdana" w:hAnsi="Verdana"/>
                <w:b/>
                <w:sz w:val="20"/>
                <w:szCs w:val="20"/>
              </w:rPr>
              <w:t>HIGH</w:t>
            </w:r>
          </w:p>
        </w:tc>
        <w:tc>
          <w:tcPr>
            <w:tcW w:w="2952" w:type="dxa"/>
          </w:tcPr>
          <w:p w:rsidR="004532E3" w:rsidRDefault="004532E3" w:rsidP="00487A6E">
            <w:pPr>
              <w:tabs>
                <w:tab w:val="left" w:pos="2520"/>
              </w:tabs>
              <w:rPr>
                <w:rFonts w:ascii="Verdana" w:hAnsi="Verdana"/>
                <w:b/>
                <w:sz w:val="20"/>
                <w:szCs w:val="20"/>
              </w:rPr>
            </w:pPr>
            <w:r>
              <w:rPr>
                <w:rFonts w:ascii="Verdana" w:hAnsi="Verdana"/>
                <w:b/>
                <w:sz w:val="20"/>
                <w:szCs w:val="20"/>
              </w:rPr>
              <w:t>MEDIUM</w:t>
            </w:r>
          </w:p>
        </w:tc>
        <w:tc>
          <w:tcPr>
            <w:tcW w:w="2952" w:type="dxa"/>
          </w:tcPr>
          <w:p w:rsidR="004532E3" w:rsidRDefault="004532E3" w:rsidP="00487A6E">
            <w:pPr>
              <w:tabs>
                <w:tab w:val="left" w:pos="2520"/>
              </w:tabs>
              <w:rPr>
                <w:rFonts w:ascii="Verdana" w:hAnsi="Verdana"/>
                <w:b/>
                <w:sz w:val="20"/>
                <w:szCs w:val="20"/>
              </w:rPr>
            </w:pPr>
            <w:r>
              <w:rPr>
                <w:rFonts w:ascii="Verdana" w:hAnsi="Verdana"/>
                <w:b/>
                <w:sz w:val="20"/>
                <w:szCs w:val="20"/>
              </w:rPr>
              <w:t>LOW</w:t>
            </w:r>
          </w:p>
        </w:tc>
      </w:tr>
      <w:tr w:rsidR="004532E3" w:rsidTr="00487A6E">
        <w:tc>
          <w:tcPr>
            <w:tcW w:w="2844" w:type="dxa"/>
          </w:tcPr>
          <w:p w:rsidR="004532E3" w:rsidRDefault="004532E3" w:rsidP="00487A6E">
            <w:pPr>
              <w:tabs>
                <w:tab w:val="left" w:pos="2520"/>
              </w:tabs>
              <w:rPr>
                <w:rFonts w:ascii="Verdana" w:hAnsi="Verdana"/>
                <w:sz w:val="20"/>
                <w:szCs w:val="20"/>
              </w:rPr>
            </w:pPr>
            <w:r>
              <w:rPr>
                <w:rFonts w:ascii="Verdana" w:hAnsi="Verdana"/>
                <w:sz w:val="20"/>
                <w:szCs w:val="20"/>
              </w:rPr>
              <w:t>Several or significant weaknesses in internal controls exist</w:t>
            </w:r>
          </w:p>
        </w:tc>
        <w:tc>
          <w:tcPr>
            <w:tcW w:w="2952" w:type="dxa"/>
          </w:tcPr>
          <w:p w:rsidR="004532E3" w:rsidRDefault="004532E3" w:rsidP="00487A6E">
            <w:pPr>
              <w:tabs>
                <w:tab w:val="left" w:pos="2520"/>
              </w:tabs>
              <w:rPr>
                <w:rFonts w:ascii="Verdana" w:hAnsi="Verdana"/>
                <w:sz w:val="20"/>
                <w:szCs w:val="20"/>
              </w:rPr>
            </w:pPr>
            <w:r>
              <w:rPr>
                <w:rFonts w:ascii="Verdana" w:hAnsi="Verdana"/>
                <w:sz w:val="20"/>
                <w:szCs w:val="20"/>
              </w:rPr>
              <w:t>Some weaknesses in controls exist</w:t>
            </w:r>
          </w:p>
        </w:tc>
        <w:tc>
          <w:tcPr>
            <w:tcW w:w="2952" w:type="dxa"/>
          </w:tcPr>
          <w:p w:rsidR="004532E3" w:rsidRDefault="004532E3" w:rsidP="00487A6E">
            <w:pPr>
              <w:tabs>
                <w:tab w:val="left" w:pos="2520"/>
              </w:tabs>
              <w:rPr>
                <w:rFonts w:ascii="Verdana" w:hAnsi="Verdana"/>
                <w:sz w:val="20"/>
                <w:szCs w:val="20"/>
              </w:rPr>
            </w:pPr>
            <w:r>
              <w:rPr>
                <w:rFonts w:ascii="Verdana" w:hAnsi="Verdana"/>
                <w:sz w:val="20"/>
                <w:szCs w:val="20"/>
              </w:rPr>
              <w:t>Good management controls are in place</w:t>
            </w:r>
          </w:p>
          <w:p w:rsidR="004532E3" w:rsidRDefault="004532E3" w:rsidP="00487A6E">
            <w:pPr>
              <w:tabs>
                <w:tab w:val="left" w:pos="2520"/>
              </w:tabs>
              <w:rPr>
                <w:rFonts w:ascii="Verdana" w:hAnsi="Verdana"/>
                <w:sz w:val="20"/>
                <w:szCs w:val="20"/>
              </w:rPr>
            </w:pPr>
          </w:p>
        </w:tc>
      </w:tr>
      <w:tr w:rsidR="004532E3" w:rsidTr="00487A6E">
        <w:tc>
          <w:tcPr>
            <w:tcW w:w="2844" w:type="dxa"/>
          </w:tcPr>
          <w:p w:rsidR="004532E3" w:rsidRDefault="004532E3" w:rsidP="00487A6E">
            <w:pPr>
              <w:tabs>
                <w:tab w:val="left" w:pos="2520"/>
              </w:tabs>
              <w:rPr>
                <w:rFonts w:ascii="Verdana" w:hAnsi="Verdana"/>
                <w:sz w:val="20"/>
                <w:szCs w:val="20"/>
              </w:rPr>
            </w:pPr>
            <w:r>
              <w:rPr>
                <w:rFonts w:ascii="Verdana" w:hAnsi="Verdana"/>
                <w:sz w:val="20"/>
                <w:szCs w:val="20"/>
              </w:rPr>
              <w:t>Management is not monitoring controls</w:t>
            </w:r>
          </w:p>
        </w:tc>
        <w:tc>
          <w:tcPr>
            <w:tcW w:w="2952" w:type="dxa"/>
          </w:tcPr>
          <w:p w:rsidR="004532E3" w:rsidRDefault="004532E3" w:rsidP="00487A6E">
            <w:pPr>
              <w:tabs>
                <w:tab w:val="left" w:pos="2520"/>
              </w:tabs>
              <w:rPr>
                <w:rFonts w:ascii="Verdana" w:hAnsi="Verdana"/>
                <w:sz w:val="20"/>
                <w:szCs w:val="20"/>
              </w:rPr>
            </w:pPr>
            <w:r>
              <w:rPr>
                <w:rFonts w:ascii="Verdana" w:hAnsi="Verdana"/>
                <w:sz w:val="20"/>
                <w:szCs w:val="20"/>
              </w:rPr>
              <w:t>Management is not acting on control information.</w:t>
            </w:r>
          </w:p>
        </w:tc>
        <w:tc>
          <w:tcPr>
            <w:tcW w:w="2952" w:type="dxa"/>
          </w:tcPr>
          <w:p w:rsidR="004532E3" w:rsidRDefault="004532E3" w:rsidP="00487A6E">
            <w:pPr>
              <w:tabs>
                <w:tab w:val="left" w:pos="2520"/>
              </w:tabs>
              <w:rPr>
                <w:rFonts w:ascii="Verdana" w:hAnsi="Verdana"/>
                <w:sz w:val="20"/>
                <w:szCs w:val="20"/>
              </w:rPr>
            </w:pPr>
            <w:r>
              <w:rPr>
                <w:rFonts w:ascii="Verdana" w:hAnsi="Verdana"/>
                <w:sz w:val="20"/>
                <w:szCs w:val="20"/>
              </w:rPr>
              <w:t xml:space="preserve">Management is </w:t>
            </w:r>
            <w:proofErr w:type="gramStart"/>
            <w:r>
              <w:rPr>
                <w:rFonts w:ascii="Verdana" w:hAnsi="Verdana"/>
                <w:sz w:val="20"/>
                <w:szCs w:val="20"/>
              </w:rPr>
              <w:t>using/acting</w:t>
            </w:r>
            <w:proofErr w:type="gramEnd"/>
            <w:r>
              <w:rPr>
                <w:rFonts w:ascii="Verdana" w:hAnsi="Verdana"/>
                <w:sz w:val="20"/>
                <w:szCs w:val="20"/>
              </w:rPr>
              <w:t xml:space="preserve"> on controls.</w:t>
            </w:r>
          </w:p>
        </w:tc>
      </w:tr>
    </w:tbl>
    <w:p w:rsidR="004532E3" w:rsidRDefault="004532E3" w:rsidP="004532E3">
      <w:pPr>
        <w:tabs>
          <w:tab w:val="left" w:pos="2520"/>
        </w:tabs>
        <w:rPr>
          <w:rFonts w:ascii="Verdana" w:hAnsi="Verdana"/>
          <w:sz w:val="28"/>
          <w:szCs w:val="28"/>
        </w:rPr>
      </w:pPr>
    </w:p>
    <w:p w:rsidR="00AC1669" w:rsidRDefault="00AC1669" w:rsidP="00602FAA">
      <w:pPr>
        <w:jc w:val="center"/>
        <w:rPr>
          <w:rFonts w:ascii="Verdana" w:hAnsi="Verdana"/>
          <w:sz w:val="36"/>
          <w:szCs w:val="36"/>
        </w:rPr>
      </w:pPr>
    </w:p>
    <w:p w:rsidR="008F4F63" w:rsidRDefault="00430B46" w:rsidP="008F4F63">
      <w:pPr>
        <w:pStyle w:val="Heading1"/>
      </w:pPr>
      <w:r>
        <w:t>Appendix D</w:t>
      </w:r>
      <w:r w:rsidR="0018679F">
        <w:t xml:space="preserve"> (Exercise #15)</w:t>
      </w:r>
    </w:p>
    <w:p w:rsidR="00430B46" w:rsidRDefault="00430B46" w:rsidP="008F4F63">
      <w:pPr>
        <w:tabs>
          <w:tab w:val="left" w:pos="0"/>
        </w:tabs>
        <w:rPr>
          <w:rFonts w:ascii="Verdana" w:hAnsi="Verdana"/>
          <w:sz w:val="32"/>
          <w:szCs w:val="32"/>
        </w:rPr>
      </w:pPr>
    </w:p>
    <w:p w:rsidR="008F4F63" w:rsidRDefault="008F4F63" w:rsidP="008F4F63">
      <w:pPr>
        <w:tabs>
          <w:tab w:val="left" w:pos="0"/>
        </w:tabs>
        <w:rPr>
          <w:rFonts w:ascii="Verdana" w:hAnsi="Verdana"/>
          <w:sz w:val="32"/>
          <w:szCs w:val="32"/>
        </w:rPr>
      </w:pPr>
      <w:r>
        <w:rPr>
          <w:rFonts w:ascii="Verdana" w:hAnsi="Verdana"/>
          <w:sz w:val="32"/>
          <w:szCs w:val="32"/>
        </w:rPr>
        <w:t>Child Care Licensing Program</w:t>
      </w:r>
      <w:r w:rsidR="00A41991">
        <w:rPr>
          <w:rFonts w:ascii="Verdana" w:hAnsi="Verdana"/>
          <w:sz w:val="32"/>
          <w:szCs w:val="32"/>
        </w:rPr>
        <w:t xml:space="preserve"> Audit</w:t>
      </w:r>
      <w:r>
        <w:rPr>
          <w:rFonts w:ascii="Verdana" w:hAnsi="Verdana"/>
          <w:sz w:val="32"/>
          <w:szCs w:val="32"/>
        </w:rPr>
        <w:t xml:space="preserve"> </w:t>
      </w:r>
    </w:p>
    <w:p w:rsidR="008F4F63" w:rsidRDefault="00A41991" w:rsidP="008F4F63">
      <w:pPr>
        <w:tabs>
          <w:tab w:val="left" w:pos="0"/>
        </w:tabs>
        <w:rPr>
          <w:rFonts w:ascii="Verdana" w:hAnsi="Verdana"/>
          <w:sz w:val="32"/>
          <w:szCs w:val="32"/>
        </w:rPr>
      </w:pPr>
      <w:r>
        <w:rPr>
          <w:rFonts w:ascii="Verdana" w:hAnsi="Verdana"/>
          <w:sz w:val="32"/>
          <w:szCs w:val="32"/>
        </w:rPr>
        <w:t>Audit</w:t>
      </w:r>
      <w:r w:rsidR="008F4F63">
        <w:rPr>
          <w:rFonts w:ascii="Verdana" w:hAnsi="Verdana"/>
          <w:sz w:val="32"/>
          <w:szCs w:val="32"/>
        </w:rPr>
        <w:t xml:space="preserve"> Team Risk Assessment</w:t>
      </w:r>
    </w:p>
    <w:p w:rsidR="008F4F63" w:rsidRDefault="008F4F63" w:rsidP="008F4F63">
      <w:pPr>
        <w:tabs>
          <w:tab w:val="left" w:pos="0"/>
        </w:tabs>
        <w:rPr>
          <w:rFonts w:ascii="Verdana" w:hAnsi="Verdana"/>
          <w:b/>
        </w:rPr>
      </w:pPr>
    </w:p>
    <w:p w:rsidR="00866979" w:rsidRDefault="00866979" w:rsidP="008F4F63">
      <w:pPr>
        <w:tabs>
          <w:tab w:val="left" w:pos="0"/>
        </w:tabs>
        <w:rPr>
          <w:rFonts w:ascii="Verdana" w:hAnsi="Verdana"/>
          <w:b/>
        </w:rPr>
      </w:pPr>
      <w:r>
        <w:rPr>
          <w:rFonts w:ascii="Verdana" w:hAnsi="Verdana"/>
          <w:b/>
        </w:rPr>
        <w:t xml:space="preserve">Which system is most vulnerable to fraud?  </w:t>
      </w:r>
    </w:p>
    <w:p w:rsidR="00DD6236" w:rsidRDefault="00DD6236" w:rsidP="008F4F63">
      <w:pPr>
        <w:tabs>
          <w:tab w:val="left" w:pos="0"/>
        </w:tabs>
        <w:rPr>
          <w:rFonts w:ascii="Verdana" w:hAnsi="Verdana"/>
          <w:b/>
        </w:rPr>
      </w:pPr>
    </w:p>
    <w:p w:rsidR="00DD6236" w:rsidRDefault="00DD6236" w:rsidP="008F4F63">
      <w:pPr>
        <w:tabs>
          <w:tab w:val="left" w:pos="0"/>
        </w:tabs>
        <w:rPr>
          <w:rFonts w:ascii="Verdana" w:hAnsi="Verdana"/>
          <w:b/>
        </w:rPr>
      </w:pPr>
    </w:p>
    <w:p w:rsidR="00866979" w:rsidRDefault="00866979" w:rsidP="008F4F63">
      <w:pPr>
        <w:tabs>
          <w:tab w:val="left" w:pos="0"/>
        </w:tabs>
        <w:rPr>
          <w:rFonts w:ascii="Verdana" w:hAnsi="Verdana"/>
          <w:b/>
        </w:rPr>
      </w:pPr>
      <w:r>
        <w:rPr>
          <w:rFonts w:ascii="Verdana" w:hAnsi="Verdana"/>
          <w:b/>
        </w:rPr>
        <w:t>Which system is most vulnerable to performance deficiencies?</w:t>
      </w:r>
    </w:p>
    <w:p w:rsidR="008F4F63" w:rsidRDefault="008F4F63" w:rsidP="008F4F63">
      <w:pPr>
        <w:tabs>
          <w:tab w:val="left" w:pos="0"/>
        </w:tabs>
        <w:jc w:val="both"/>
        <w:rPr>
          <w:rFonts w:ascii="Verdana" w:hAnsi="Verdana"/>
          <w:u w:val="single"/>
        </w:rPr>
      </w:pPr>
    </w:p>
    <w:p w:rsidR="00DD6236" w:rsidRDefault="00DD6236" w:rsidP="008F4F63">
      <w:pPr>
        <w:tabs>
          <w:tab w:val="left" w:pos="0"/>
        </w:tabs>
        <w:jc w:val="both"/>
        <w:rPr>
          <w:rFonts w:ascii="Verdana" w:hAnsi="Verdana"/>
          <w:u w:val="single"/>
        </w:rPr>
      </w:pPr>
    </w:p>
    <w:p w:rsidR="008F4F63" w:rsidRDefault="00DD6236" w:rsidP="008F4F63">
      <w:pPr>
        <w:tabs>
          <w:tab w:val="left" w:pos="0"/>
        </w:tabs>
        <w:jc w:val="both"/>
        <w:rPr>
          <w:rFonts w:ascii="Verdana" w:hAnsi="Verdana"/>
        </w:rPr>
      </w:pPr>
      <w:r>
        <w:rPr>
          <w:rFonts w:ascii="Verdana" w:hAnsi="Verdana"/>
          <w:u w:val="single"/>
        </w:rPr>
        <w:t xml:space="preserve">Fraud Risk Assessment </w:t>
      </w:r>
      <w:r w:rsidR="008F4F63">
        <w:rPr>
          <w:rFonts w:ascii="Verdana" w:hAnsi="Verdana"/>
          <w:u w:val="single"/>
        </w:rPr>
        <w:t>Risk Factors:</w:t>
      </w:r>
    </w:p>
    <w:p w:rsidR="008F4F63" w:rsidRDefault="008F4F63" w:rsidP="008F4F63">
      <w:pPr>
        <w:tabs>
          <w:tab w:val="left" w:pos="0"/>
        </w:tabs>
        <w:jc w:val="both"/>
        <w:rPr>
          <w:rFonts w:ascii="Verdana" w:hAnsi="Verdana"/>
        </w:rPr>
      </w:pPr>
    </w:p>
    <w:p w:rsidR="008F4F63" w:rsidRDefault="008F4F63" w:rsidP="008F4F63">
      <w:pPr>
        <w:tabs>
          <w:tab w:val="left" w:pos="0"/>
        </w:tabs>
        <w:jc w:val="both"/>
        <w:rPr>
          <w:rFonts w:ascii="Verdana" w:hAnsi="Verdana"/>
          <w:u w:val="single"/>
        </w:rPr>
      </w:pPr>
      <w:r>
        <w:rPr>
          <w:rFonts w:ascii="Verdana" w:hAnsi="Verdana"/>
          <w:u w:val="single"/>
        </w:rPr>
        <w:t>Inherent Risk:</w:t>
      </w:r>
      <w:r>
        <w:rPr>
          <w:rFonts w:ascii="Verdana" w:hAnsi="Verdana"/>
        </w:rPr>
        <w:t xml:space="preserve">                 </w:t>
      </w:r>
      <w:r>
        <w:rPr>
          <w:rFonts w:ascii="Verdana" w:hAnsi="Verdana"/>
          <w:u w:val="single"/>
        </w:rPr>
        <w:t xml:space="preserve">Management Controls </w:t>
      </w:r>
      <w:r>
        <w:rPr>
          <w:rFonts w:ascii="Verdana" w:hAnsi="Verdana"/>
        </w:rPr>
        <w:t xml:space="preserve">              </w:t>
      </w:r>
      <w:r>
        <w:rPr>
          <w:rFonts w:ascii="Verdana" w:hAnsi="Verdana"/>
          <w:u w:val="single"/>
        </w:rPr>
        <w:t xml:space="preserve"> Control Risk:</w:t>
      </w:r>
    </w:p>
    <w:p w:rsidR="008F4F63" w:rsidRDefault="008F4F63" w:rsidP="008F4F63">
      <w:pPr>
        <w:tabs>
          <w:tab w:val="left" w:pos="0"/>
        </w:tabs>
        <w:ind w:left="900"/>
        <w:rPr>
          <w:rFonts w:ascii="Verdana" w:hAnsi="Verdana"/>
        </w:rPr>
      </w:pPr>
    </w:p>
    <w:p w:rsidR="008F4F63" w:rsidRDefault="008F4F63" w:rsidP="008F4F63">
      <w:pPr>
        <w:tabs>
          <w:tab w:val="left" w:pos="0"/>
        </w:tabs>
        <w:ind w:left="900"/>
        <w:rPr>
          <w:rFonts w:ascii="Verdana" w:hAnsi="Verdana"/>
        </w:rPr>
      </w:pPr>
    </w:p>
    <w:p w:rsidR="008F4F63" w:rsidRDefault="008F4F63" w:rsidP="008F4F63">
      <w:pPr>
        <w:tabs>
          <w:tab w:val="left" w:pos="0"/>
        </w:tabs>
        <w:ind w:left="900"/>
        <w:rPr>
          <w:rFonts w:ascii="Verdana" w:hAnsi="Verdana"/>
        </w:rPr>
      </w:pPr>
    </w:p>
    <w:p w:rsidR="008B6F61" w:rsidRPr="00DD6236" w:rsidRDefault="008B6F61" w:rsidP="008B6F61">
      <w:pPr>
        <w:tabs>
          <w:tab w:val="left" w:pos="0"/>
        </w:tabs>
        <w:jc w:val="both"/>
        <w:rPr>
          <w:rFonts w:ascii="Verdana" w:hAnsi="Verdana"/>
          <w:u w:val="single"/>
        </w:rPr>
      </w:pPr>
      <w:r w:rsidRPr="00DD6236">
        <w:rPr>
          <w:rFonts w:ascii="Verdana" w:hAnsi="Verdana"/>
          <w:u w:val="single"/>
        </w:rPr>
        <w:t>Performance Risk Assessment</w:t>
      </w:r>
      <w:r w:rsidR="00DD6236" w:rsidRPr="00DD6236">
        <w:rPr>
          <w:rFonts w:ascii="Verdana" w:hAnsi="Verdana"/>
          <w:u w:val="single"/>
        </w:rPr>
        <w:t xml:space="preserve"> Risk Factors</w:t>
      </w:r>
      <w:r w:rsidRPr="00DD6236">
        <w:rPr>
          <w:rFonts w:ascii="Verdana" w:hAnsi="Verdana"/>
          <w:u w:val="single"/>
        </w:rPr>
        <w:t>:</w:t>
      </w:r>
    </w:p>
    <w:p w:rsidR="008B6F61" w:rsidRDefault="008B6F61" w:rsidP="008B6F61">
      <w:pPr>
        <w:tabs>
          <w:tab w:val="left" w:pos="0"/>
        </w:tabs>
        <w:jc w:val="both"/>
        <w:rPr>
          <w:rFonts w:ascii="Verdana" w:hAnsi="Verdana"/>
        </w:rPr>
      </w:pPr>
    </w:p>
    <w:p w:rsidR="008B6F61" w:rsidRDefault="008B6F61" w:rsidP="008B6F61">
      <w:pPr>
        <w:tabs>
          <w:tab w:val="left" w:pos="0"/>
        </w:tabs>
        <w:jc w:val="both"/>
        <w:rPr>
          <w:rFonts w:ascii="Verdana" w:hAnsi="Verdana"/>
          <w:u w:val="single"/>
        </w:rPr>
      </w:pPr>
      <w:r>
        <w:rPr>
          <w:rFonts w:ascii="Verdana" w:hAnsi="Verdana"/>
          <w:u w:val="single"/>
        </w:rPr>
        <w:t>Inherent Risk:</w:t>
      </w:r>
      <w:r>
        <w:rPr>
          <w:rFonts w:ascii="Verdana" w:hAnsi="Verdana"/>
        </w:rPr>
        <w:t xml:space="preserve">                 </w:t>
      </w:r>
      <w:r>
        <w:rPr>
          <w:rFonts w:ascii="Verdana" w:hAnsi="Verdana"/>
          <w:u w:val="single"/>
        </w:rPr>
        <w:t xml:space="preserve">Management Controls </w:t>
      </w:r>
      <w:r>
        <w:rPr>
          <w:rFonts w:ascii="Verdana" w:hAnsi="Verdana"/>
        </w:rPr>
        <w:t xml:space="preserve">              </w:t>
      </w:r>
      <w:r>
        <w:rPr>
          <w:rFonts w:ascii="Verdana" w:hAnsi="Verdana"/>
          <w:u w:val="single"/>
        </w:rPr>
        <w:t xml:space="preserve"> Control Risk:</w:t>
      </w:r>
    </w:p>
    <w:p w:rsidR="00DD6236" w:rsidRDefault="00DD6236" w:rsidP="00B146E0">
      <w:pPr>
        <w:pStyle w:val="Heading2"/>
        <w:rPr>
          <w:sz w:val="40"/>
          <w:szCs w:val="40"/>
        </w:rPr>
      </w:pPr>
    </w:p>
    <w:p w:rsidR="00DD6236" w:rsidRPr="00DD6236" w:rsidRDefault="00DD6236" w:rsidP="00DD6236"/>
    <w:p w:rsidR="00B146E0" w:rsidRPr="008F7364" w:rsidRDefault="008F7364" w:rsidP="00B146E0">
      <w:pPr>
        <w:pStyle w:val="Heading2"/>
        <w:rPr>
          <w:sz w:val="40"/>
          <w:szCs w:val="40"/>
        </w:rPr>
      </w:pPr>
      <w:r w:rsidRPr="008F7364">
        <w:rPr>
          <w:sz w:val="40"/>
          <w:szCs w:val="40"/>
        </w:rPr>
        <w:lastRenderedPageBreak/>
        <w:t>Appendix E</w:t>
      </w:r>
      <w:r w:rsidR="0018679F">
        <w:rPr>
          <w:sz w:val="40"/>
          <w:szCs w:val="40"/>
        </w:rPr>
        <w:t xml:space="preserve"> (for Exercise #15)</w:t>
      </w:r>
    </w:p>
    <w:p w:rsidR="008F7364" w:rsidRDefault="008F7364" w:rsidP="00B146E0">
      <w:pPr>
        <w:rPr>
          <w:rFonts w:ascii="Verdana" w:hAnsi="Verdana"/>
          <w:sz w:val="32"/>
          <w:szCs w:val="32"/>
        </w:rPr>
      </w:pPr>
    </w:p>
    <w:p w:rsidR="00B146E0" w:rsidRDefault="00B146E0" w:rsidP="00B146E0">
      <w:pPr>
        <w:rPr>
          <w:rFonts w:ascii="Verdana" w:hAnsi="Verdana"/>
          <w:sz w:val="32"/>
          <w:szCs w:val="32"/>
        </w:rPr>
      </w:pPr>
      <w:r>
        <w:rPr>
          <w:rFonts w:ascii="Verdana" w:hAnsi="Verdana"/>
          <w:sz w:val="32"/>
          <w:szCs w:val="32"/>
        </w:rPr>
        <w:t>CCLP — RCCL — CPAs</w:t>
      </w:r>
    </w:p>
    <w:p w:rsidR="00B146E0" w:rsidRDefault="00B146E0" w:rsidP="00671C19">
      <w:pPr>
        <w:rPr>
          <w:rFonts w:ascii="Verdana" w:hAnsi="Verdana"/>
          <w:sz w:val="32"/>
          <w:szCs w:val="32"/>
        </w:rPr>
      </w:pPr>
      <w:r>
        <w:rPr>
          <w:rFonts w:ascii="Verdana" w:hAnsi="Verdana"/>
          <w:sz w:val="32"/>
          <w:szCs w:val="32"/>
        </w:rPr>
        <w:t>CASE STUDY SCENARIO</w:t>
      </w:r>
    </w:p>
    <w:p w:rsidR="00671C19" w:rsidRDefault="00671C19" w:rsidP="00671C19">
      <w:pPr>
        <w:rPr>
          <w:rFonts w:ascii="Verdana" w:hAnsi="Verdana"/>
          <w:b/>
          <w:sz w:val="36"/>
          <w:szCs w:val="36"/>
        </w:rPr>
      </w:pPr>
    </w:p>
    <w:p w:rsidR="00B146E0" w:rsidRDefault="00B146E0" w:rsidP="00B146E0">
      <w:pPr>
        <w:rPr>
          <w:rFonts w:ascii="Verdana" w:hAnsi="Verdana"/>
          <w:b/>
        </w:rPr>
      </w:pPr>
      <w:r>
        <w:rPr>
          <w:rFonts w:ascii="Verdana" w:hAnsi="Verdana"/>
          <w:b/>
        </w:rPr>
        <w:t>BACKGROUND</w:t>
      </w:r>
    </w:p>
    <w:p w:rsidR="00B146E0" w:rsidRDefault="00B146E0" w:rsidP="00B146E0">
      <w:pPr>
        <w:rPr>
          <w:rFonts w:ascii="Verdana" w:hAnsi="Verdana"/>
          <w:sz w:val="20"/>
          <w:szCs w:val="20"/>
        </w:rPr>
      </w:pPr>
    </w:p>
    <w:p w:rsidR="00B146E0" w:rsidRDefault="00B146E0" w:rsidP="00B146E0">
      <w:pPr>
        <w:rPr>
          <w:rFonts w:ascii="Verdana" w:hAnsi="Verdana"/>
          <w:sz w:val="20"/>
          <w:szCs w:val="20"/>
        </w:rPr>
      </w:pPr>
      <w:r>
        <w:rPr>
          <w:rFonts w:ascii="Verdana" w:hAnsi="Verdana"/>
          <w:sz w:val="20"/>
          <w:szCs w:val="20"/>
        </w:rPr>
        <w:t xml:space="preserve">The </w:t>
      </w:r>
      <w:r w:rsidR="00241FCE">
        <w:rPr>
          <w:rFonts w:ascii="Verdana" w:hAnsi="Verdana"/>
          <w:sz w:val="20"/>
          <w:szCs w:val="20"/>
        </w:rPr>
        <w:t xml:space="preserve">State’s </w:t>
      </w:r>
      <w:r>
        <w:rPr>
          <w:rFonts w:ascii="Verdana" w:hAnsi="Verdana"/>
          <w:sz w:val="20"/>
          <w:szCs w:val="20"/>
        </w:rPr>
        <w:t>Child Care Licensing Program (CCLP) works to safeguard the basic health, safety, and well being of children by developing and enforcing minimum standards for facilities that care for or place children.</w:t>
      </w:r>
    </w:p>
    <w:p w:rsidR="00B146E0" w:rsidRDefault="00B146E0" w:rsidP="00B146E0">
      <w:pPr>
        <w:rPr>
          <w:rFonts w:ascii="Verdana" w:hAnsi="Verdana"/>
          <w:sz w:val="20"/>
          <w:szCs w:val="20"/>
        </w:rPr>
      </w:pPr>
      <w:r>
        <w:rPr>
          <w:rFonts w:ascii="Verdana" w:hAnsi="Verdana"/>
          <w:sz w:val="20"/>
          <w:szCs w:val="20"/>
        </w:rPr>
        <w:t xml:space="preserve">It is the human services’ department’s program for licensing group daycare homes, daycare centers, registered family homes, child placement agencies, and publicly and privately owned residential child-care facilities.  The program is also charged with investigating complaints and serious incidents involving daycare and residential-care facilities and, if necessary, taking corrective action.  </w:t>
      </w:r>
    </w:p>
    <w:p w:rsidR="00B146E0" w:rsidRDefault="00B146E0" w:rsidP="00B146E0">
      <w:pPr>
        <w:rPr>
          <w:rFonts w:ascii="Verdana" w:hAnsi="Verdana"/>
          <w:sz w:val="20"/>
          <w:szCs w:val="20"/>
        </w:rPr>
      </w:pPr>
      <w:r>
        <w:rPr>
          <w:rFonts w:ascii="Verdana" w:hAnsi="Verdana"/>
          <w:sz w:val="20"/>
          <w:szCs w:val="20"/>
        </w:rPr>
        <w:t>The number of Child Placement Agencies (CPAs) regulated by the CCLP has  tripled in the past 10 years, from 67 in 1999 primarily placing children for adoption to 194 agencies in 2009 primarily providing foster care.</w:t>
      </w:r>
    </w:p>
    <w:p w:rsidR="00B146E0" w:rsidRDefault="00B146E0" w:rsidP="00B146E0">
      <w:pPr>
        <w:rPr>
          <w:rFonts w:ascii="Verdana" w:hAnsi="Verdana"/>
          <w:sz w:val="20"/>
          <w:szCs w:val="20"/>
        </w:rPr>
      </w:pPr>
      <w:r>
        <w:rPr>
          <w:rFonts w:ascii="Verdana" w:hAnsi="Verdana"/>
          <w:sz w:val="20"/>
          <w:szCs w:val="20"/>
        </w:rPr>
        <w:t>With the emphasis on placing children in smaller, more homelike settings and the practice that the money follows the child, there has been a substantive increase in the number of children requiring specialized care and services within the foster care system.</w:t>
      </w:r>
    </w:p>
    <w:p w:rsidR="00B146E0" w:rsidRDefault="00B146E0" w:rsidP="00B146E0">
      <w:pPr>
        <w:rPr>
          <w:rFonts w:ascii="Verdana" w:hAnsi="Verdana"/>
          <w:sz w:val="20"/>
          <w:szCs w:val="20"/>
        </w:rPr>
      </w:pPr>
      <w:r>
        <w:rPr>
          <w:rFonts w:ascii="Verdana" w:hAnsi="Verdana"/>
          <w:sz w:val="20"/>
          <w:szCs w:val="20"/>
        </w:rPr>
        <w:t>In FY 04 the number of placements by CCLP and CPAs was 7522 and 1818 respectively.  By FY 09 the placements by CCLP had dropped to 5331 and CPAs placed 2584.</w:t>
      </w:r>
    </w:p>
    <w:p w:rsidR="00B146E0" w:rsidRDefault="008A2475" w:rsidP="00B146E0">
      <w:pPr>
        <w:rPr>
          <w:rFonts w:ascii="Verdana" w:hAnsi="Verdana"/>
          <w:sz w:val="20"/>
          <w:szCs w:val="20"/>
        </w:rPr>
      </w:pPr>
      <w:r>
        <w:rPr>
          <w:rFonts w:ascii="Verdana" w:hAnsi="Verdana"/>
          <w:sz w:val="20"/>
          <w:szCs w:val="20"/>
        </w:rPr>
        <w:t xml:space="preserve">RCCLs </w:t>
      </w:r>
      <w:r w:rsidR="00B146E0">
        <w:rPr>
          <w:rFonts w:ascii="Verdana" w:hAnsi="Verdana"/>
          <w:sz w:val="20"/>
          <w:szCs w:val="20"/>
        </w:rPr>
        <w:t>(Residential Child Care Facilities Regulators), CCLP employees, are responsible for regulating and monitoring CPAs (child care placement agencies.)  Child Care Placement Agencies in turn place children in foster homes and ensure that the foster homes are meeting standards.</w:t>
      </w:r>
    </w:p>
    <w:p w:rsidR="00B146E0" w:rsidRDefault="00B146E0" w:rsidP="00B146E0">
      <w:pPr>
        <w:rPr>
          <w:rFonts w:ascii="Verdana" w:hAnsi="Verdana"/>
          <w:sz w:val="20"/>
          <w:szCs w:val="20"/>
        </w:rPr>
      </w:pPr>
    </w:p>
    <w:p w:rsidR="00B146E0" w:rsidRDefault="00B146E0" w:rsidP="00B146E0">
      <w:pPr>
        <w:rPr>
          <w:rFonts w:ascii="Verdana" w:hAnsi="Verdana"/>
          <w:sz w:val="20"/>
          <w:szCs w:val="20"/>
        </w:rPr>
      </w:pPr>
      <w:r>
        <w:rPr>
          <w:rFonts w:ascii="Verdana" w:hAnsi="Verdana"/>
          <w:b/>
        </w:rPr>
        <w:t>MOVING TO ACTIVE ENFORCEMENT</w:t>
      </w:r>
    </w:p>
    <w:p w:rsidR="00B146E0" w:rsidRDefault="00B146E0" w:rsidP="00B146E0">
      <w:pPr>
        <w:pStyle w:val="Heading1"/>
        <w:rPr>
          <w:b/>
          <w:bCs/>
          <w:sz w:val="20"/>
          <w:szCs w:val="20"/>
        </w:rPr>
      </w:pPr>
      <w:r>
        <w:rPr>
          <w:b/>
          <w:bCs/>
          <w:sz w:val="20"/>
          <w:szCs w:val="20"/>
        </w:rPr>
        <w:t xml:space="preserve">There may not be sufficient management controls in place to support the recent philosophy change from “partner” of the child care facilities to “protector of children”.  This shift has focused agency management on systems for </w:t>
      </w:r>
      <w:r w:rsidR="005733E5">
        <w:rPr>
          <w:b/>
          <w:bCs/>
          <w:sz w:val="20"/>
          <w:szCs w:val="20"/>
        </w:rPr>
        <w:t xml:space="preserve">regulating, </w:t>
      </w:r>
      <w:r>
        <w:rPr>
          <w:b/>
          <w:bCs/>
          <w:sz w:val="20"/>
          <w:szCs w:val="20"/>
        </w:rPr>
        <w:lastRenderedPageBreak/>
        <w:t xml:space="preserve">monitoring, assuring quality, managing information, and maintaining policies and procedures.  </w:t>
      </w:r>
    </w:p>
    <w:p w:rsidR="00B146E0" w:rsidRDefault="00B146E0" w:rsidP="00B146E0">
      <w:pPr>
        <w:rPr>
          <w:rFonts w:ascii="Verdana" w:hAnsi="Verdana"/>
          <w:sz w:val="20"/>
          <w:szCs w:val="20"/>
        </w:rPr>
      </w:pPr>
    </w:p>
    <w:p w:rsidR="00B146E0" w:rsidRDefault="00B146E0" w:rsidP="00B146E0">
      <w:pPr>
        <w:rPr>
          <w:rFonts w:ascii="Verdana" w:hAnsi="Verdana"/>
          <w:b/>
        </w:rPr>
      </w:pPr>
      <w:r>
        <w:rPr>
          <w:rFonts w:ascii="Verdana" w:hAnsi="Verdana"/>
          <w:b/>
        </w:rPr>
        <w:t>REGULATING CHILD PLACING AGENCIES</w:t>
      </w:r>
    </w:p>
    <w:p w:rsidR="005733E5" w:rsidRDefault="005733E5" w:rsidP="005733E5">
      <w:pPr>
        <w:rPr>
          <w:rFonts w:ascii="Verdana" w:hAnsi="Verdana"/>
          <w:sz w:val="20"/>
          <w:szCs w:val="20"/>
        </w:rPr>
      </w:pPr>
      <w:r>
        <w:rPr>
          <w:rFonts w:ascii="Verdana" w:hAnsi="Verdana"/>
          <w:sz w:val="20"/>
          <w:szCs w:val="20"/>
        </w:rPr>
        <w:t>RCCL management reported that lack of follow through to ensure foster homes make improvements based on inspection findings has fostered inconsistency and a lack of regulatory controls.  Furthermore, the CCLP does not have procedures for making sure that its standards are enforced in all the regions.  The Child Placing Agencies are responsible for reporting on whether foster homes are making improvements based on inspections and for assessing overall compliance with standards.</w:t>
      </w:r>
    </w:p>
    <w:p w:rsidR="005733E5" w:rsidRDefault="005733E5" w:rsidP="005733E5">
      <w:pPr>
        <w:rPr>
          <w:rFonts w:ascii="Verdana" w:hAnsi="Verdana"/>
          <w:sz w:val="20"/>
          <w:szCs w:val="20"/>
        </w:rPr>
      </w:pPr>
    </w:p>
    <w:p w:rsidR="005733E5" w:rsidRDefault="005733E5" w:rsidP="005733E5">
      <w:pPr>
        <w:rPr>
          <w:rFonts w:ascii="Verdana" w:hAnsi="Verdana"/>
          <w:sz w:val="20"/>
          <w:szCs w:val="20"/>
        </w:rPr>
      </w:pPr>
      <w:r>
        <w:rPr>
          <w:rFonts w:ascii="Verdana" w:hAnsi="Verdana"/>
          <w:sz w:val="20"/>
          <w:szCs w:val="20"/>
        </w:rPr>
        <w:t xml:space="preserve">CPAs are responsible for ensuring that agency foster parents meet and maintain minimum standards, but licensing inspections and investigations conducted within the past two years indicate that agencies are failing to carry out this responsibility.  </w:t>
      </w:r>
      <w:r w:rsidR="004D24C1">
        <w:rPr>
          <w:rFonts w:ascii="Verdana" w:hAnsi="Verdana"/>
          <w:sz w:val="20"/>
          <w:szCs w:val="20"/>
        </w:rPr>
        <w:t xml:space="preserve">Media stories have begun surfacing on the issues facing RCCL and the State’s ability to manage the foster care system.  </w:t>
      </w:r>
      <w:r>
        <w:rPr>
          <w:rFonts w:ascii="Verdana" w:hAnsi="Verdana"/>
          <w:sz w:val="20"/>
          <w:szCs w:val="20"/>
        </w:rPr>
        <w:t>RCCL staff has reported instances in which:</w:t>
      </w:r>
    </w:p>
    <w:p w:rsidR="005733E5" w:rsidRDefault="005733E5" w:rsidP="005733E5">
      <w:pPr>
        <w:rPr>
          <w:rFonts w:ascii="Verdana" w:hAnsi="Verdana"/>
          <w:sz w:val="20"/>
          <w:szCs w:val="20"/>
        </w:rPr>
      </w:pPr>
    </w:p>
    <w:p w:rsidR="005733E5" w:rsidRDefault="005733E5" w:rsidP="005733E5">
      <w:pPr>
        <w:numPr>
          <w:ilvl w:val="0"/>
          <w:numId w:val="5"/>
        </w:numPr>
        <w:spacing w:after="0" w:line="240" w:lineRule="auto"/>
        <w:rPr>
          <w:rFonts w:ascii="Verdana" w:hAnsi="Verdana"/>
          <w:sz w:val="20"/>
          <w:szCs w:val="20"/>
        </w:rPr>
      </w:pPr>
      <w:r>
        <w:rPr>
          <w:rFonts w:ascii="Verdana" w:hAnsi="Verdana"/>
          <w:sz w:val="20"/>
          <w:szCs w:val="20"/>
        </w:rPr>
        <w:t>CPAs allow foster homes that do not meet standards to continue to operate;</w:t>
      </w:r>
    </w:p>
    <w:p w:rsidR="005733E5" w:rsidRDefault="005733E5" w:rsidP="005733E5">
      <w:pPr>
        <w:numPr>
          <w:ilvl w:val="0"/>
          <w:numId w:val="5"/>
        </w:numPr>
        <w:spacing w:after="0" w:line="240" w:lineRule="auto"/>
        <w:rPr>
          <w:rFonts w:ascii="Verdana" w:hAnsi="Verdana"/>
          <w:sz w:val="20"/>
          <w:szCs w:val="20"/>
        </w:rPr>
      </w:pPr>
      <w:r>
        <w:rPr>
          <w:rFonts w:ascii="Verdana" w:hAnsi="Verdana"/>
          <w:sz w:val="20"/>
          <w:szCs w:val="20"/>
        </w:rPr>
        <w:t>Foster parents who have been unable to meet standards under the supervision of a CPA, will switch to another CPA with no questions asked;</w:t>
      </w:r>
    </w:p>
    <w:p w:rsidR="005733E5" w:rsidRDefault="005733E5" w:rsidP="005733E5">
      <w:pPr>
        <w:numPr>
          <w:ilvl w:val="0"/>
          <w:numId w:val="5"/>
        </w:numPr>
        <w:spacing w:after="0" w:line="240" w:lineRule="auto"/>
        <w:rPr>
          <w:rFonts w:ascii="Verdana" w:hAnsi="Verdana"/>
          <w:sz w:val="20"/>
          <w:szCs w:val="20"/>
        </w:rPr>
      </w:pPr>
      <w:r>
        <w:rPr>
          <w:rFonts w:ascii="Verdana" w:hAnsi="Verdana"/>
          <w:sz w:val="20"/>
          <w:szCs w:val="20"/>
        </w:rPr>
        <w:t>Foster children are not receiving recommended services and treatment and some appear to be overmedicated; and</w:t>
      </w:r>
    </w:p>
    <w:p w:rsidR="005733E5" w:rsidRDefault="005733E5" w:rsidP="005733E5">
      <w:pPr>
        <w:numPr>
          <w:ilvl w:val="0"/>
          <w:numId w:val="5"/>
        </w:numPr>
        <w:spacing w:after="0" w:line="240" w:lineRule="auto"/>
        <w:rPr>
          <w:rFonts w:ascii="Verdana" w:hAnsi="Verdana"/>
          <w:sz w:val="20"/>
          <w:szCs w:val="20"/>
        </w:rPr>
      </w:pPr>
      <w:r>
        <w:rPr>
          <w:rFonts w:ascii="Verdana" w:hAnsi="Verdana"/>
          <w:sz w:val="20"/>
          <w:szCs w:val="20"/>
        </w:rPr>
        <w:t>CPA staff corrects specific instances of non-compliance, but does not address the underlying weaknesses that are causing the non-compliance.</w:t>
      </w:r>
    </w:p>
    <w:p w:rsidR="005733E5" w:rsidRDefault="005733E5" w:rsidP="005733E5">
      <w:pPr>
        <w:ind w:left="360"/>
        <w:rPr>
          <w:rFonts w:ascii="Verdana" w:hAnsi="Verdana"/>
          <w:sz w:val="20"/>
          <w:szCs w:val="20"/>
        </w:rPr>
      </w:pPr>
    </w:p>
    <w:p w:rsidR="005733E5" w:rsidRDefault="005733E5" w:rsidP="005733E5">
      <w:pPr>
        <w:ind w:left="360"/>
        <w:rPr>
          <w:rFonts w:ascii="Verdana" w:hAnsi="Verdana"/>
          <w:sz w:val="20"/>
          <w:szCs w:val="20"/>
        </w:rPr>
      </w:pPr>
    </w:p>
    <w:p w:rsidR="005733E5" w:rsidRDefault="008A2475" w:rsidP="00B146E0">
      <w:pPr>
        <w:rPr>
          <w:rFonts w:ascii="Verdana" w:hAnsi="Verdana"/>
          <w:b/>
        </w:rPr>
      </w:pPr>
      <w:r>
        <w:rPr>
          <w:rFonts w:ascii="Verdana" w:hAnsi="Verdana"/>
          <w:b/>
        </w:rPr>
        <w:t>STRENGHENING THE CPA</w:t>
      </w:r>
      <w:r w:rsidR="00A74BFB">
        <w:rPr>
          <w:rFonts w:ascii="Verdana" w:hAnsi="Verdana"/>
          <w:b/>
        </w:rPr>
        <w:t>’s</w:t>
      </w:r>
      <w:r>
        <w:rPr>
          <w:rFonts w:ascii="Verdana" w:hAnsi="Verdana"/>
          <w:b/>
        </w:rPr>
        <w:t xml:space="preserve"> FOSTER HOME MONITORING SYSTEM</w:t>
      </w:r>
    </w:p>
    <w:p w:rsidR="00B146E0" w:rsidRDefault="00B146E0" w:rsidP="00B146E0">
      <w:pPr>
        <w:rPr>
          <w:rFonts w:ascii="Verdana" w:hAnsi="Verdana"/>
          <w:sz w:val="20"/>
          <w:szCs w:val="20"/>
          <w:u w:val="single"/>
        </w:rPr>
      </w:pPr>
    </w:p>
    <w:p w:rsidR="00B146E0" w:rsidRDefault="00B146E0" w:rsidP="00B146E0">
      <w:pPr>
        <w:rPr>
          <w:rFonts w:ascii="Verdana" w:hAnsi="Verdana"/>
          <w:sz w:val="20"/>
          <w:szCs w:val="20"/>
        </w:rPr>
      </w:pPr>
      <w:r>
        <w:rPr>
          <w:rFonts w:ascii="Verdana" w:hAnsi="Verdana"/>
          <w:sz w:val="20"/>
          <w:szCs w:val="20"/>
        </w:rPr>
        <w:t>Child placing agencies (CPAs) have not been monitoring the foster homes they certify in a timely and efficient fashion, to ensure compliance with standards.  CCLP management admits this is a weak enforcement area and described disagreements at several levels that have prevented the agency from taking action until recently.</w:t>
      </w:r>
    </w:p>
    <w:p w:rsidR="00B146E0" w:rsidRDefault="00B146E0" w:rsidP="00B146E0">
      <w:pPr>
        <w:rPr>
          <w:rFonts w:ascii="Verdana" w:hAnsi="Verdana"/>
          <w:sz w:val="20"/>
          <w:szCs w:val="20"/>
        </w:rPr>
      </w:pPr>
    </w:p>
    <w:p w:rsidR="00B146E0" w:rsidRDefault="00B146E0" w:rsidP="00B146E0">
      <w:pPr>
        <w:rPr>
          <w:rFonts w:ascii="Verdana" w:hAnsi="Verdana"/>
          <w:sz w:val="20"/>
          <w:szCs w:val="20"/>
        </w:rPr>
      </w:pPr>
      <w:r>
        <w:rPr>
          <w:rFonts w:ascii="Verdana" w:hAnsi="Verdana"/>
          <w:sz w:val="20"/>
          <w:szCs w:val="20"/>
        </w:rPr>
        <w:t>To address this lack of coverage and enforcement, CCLP management finally</w:t>
      </w:r>
      <w:r w:rsidR="004B20AD">
        <w:rPr>
          <w:rFonts w:ascii="Verdana" w:hAnsi="Verdana"/>
          <w:sz w:val="20"/>
          <w:szCs w:val="20"/>
        </w:rPr>
        <w:t xml:space="preserve"> obtained funding </w:t>
      </w:r>
      <w:r>
        <w:rPr>
          <w:rFonts w:ascii="Verdana" w:hAnsi="Verdana"/>
          <w:sz w:val="20"/>
          <w:szCs w:val="20"/>
        </w:rPr>
        <w:t>to supplement CPA monitoring with contract inspectors hired from private firms.  An inspection process was implemented</w:t>
      </w:r>
      <w:r w:rsidR="004B20AD">
        <w:rPr>
          <w:rFonts w:ascii="Verdana" w:hAnsi="Verdana"/>
          <w:sz w:val="20"/>
          <w:szCs w:val="20"/>
        </w:rPr>
        <w:t xml:space="preserve"> two years ago</w:t>
      </w:r>
      <w:r>
        <w:rPr>
          <w:rFonts w:ascii="Verdana" w:hAnsi="Verdana"/>
          <w:sz w:val="20"/>
          <w:szCs w:val="20"/>
        </w:rPr>
        <w:t xml:space="preserve"> and the number of inspections completed has steadily increased.  However, during this two year period cost per inspection has also continued to climb.  Based on the most recent analysis, the cost per inspection </w:t>
      </w:r>
      <w:r>
        <w:rPr>
          <w:rFonts w:ascii="Verdana" w:hAnsi="Verdana"/>
          <w:sz w:val="20"/>
          <w:szCs w:val="20"/>
        </w:rPr>
        <w:lastRenderedPageBreak/>
        <w:t>i</w:t>
      </w:r>
      <w:r w:rsidR="000A4B9B">
        <w:rPr>
          <w:rFonts w:ascii="Verdana" w:hAnsi="Verdana"/>
          <w:sz w:val="20"/>
          <w:szCs w:val="20"/>
        </w:rPr>
        <w:t>ncreased from an average of $300</w:t>
      </w:r>
      <w:r>
        <w:rPr>
          <w:rFonts w:ascii="Verdana" w:hAnsi="Verdana"/>
          <w:sz w:val="20"/>
          <w:szCs w:val="20"/>
        </w:rPr>
        <w:t xml:space="preserve">.00 per inspection in the first quarter of the first year to </w:t>
      </w:r>
      <w:r w:rsidR="000A4B9B">
        <w:rPr>
          <w:rFonts w:ascii="Verdana" w:hAnsi="Verdana"/>
          <w:sz w:val="20"/>
          <w:szCs w:val="20"/>
        </w:rPr>
        <w:t>$5</w:t>
      </w:r>
      <w:r>
        <w:rPr>
          <w:rFonts w:ascii="Verdana" w:hAnsi="Verdana"/>
          <w:sz w:val="20"/>
          <w:szCs w:val="20"/>
        </w:rPr>
        <w:t>00.00 per inspection in the most recent quarter.  To reduce unit costs by increasing inspections, inspectors now have the opportunity to earn annual performance bonuses based on reaching or exceeding goals for number of homes quarterly reported as “completing inspection.”</w:t>
      </w:r>
    </w:p>
    <w:p w:rsidR="00B146E0" w:rsidRDefault="00B146E0" w:rsidP="00B146E0">
      <w:pPr>
        <w:rPr>
          <w:rFonts w:ascii="Verdana" w:hAnsi="Verdana"/>
          <w:sz w:val="20"/>
          <w:szCs w:val="20"/>
        </w:rPr>
      </w:pPr>
    </w:p>
    <w:p w:rsidR="00B146E0" w:rsidRDefault="004D24C1" w:rsidP="00B146E0">
      <w:pPr>
        <w:rPr>
          <w:rFonts w:ascii="Verdana" w:hAnsi="Verdana"/>
          <w:sz w:val="20"/>
          <w:szCs w:val="20"/>
        </w:rPr>
      </w:pPr>
      <w:r>
        <w:rPr>
          <w:rFonts w:ascii="Verdana" w:hAnsi="Verdana"/>
          <w:sz w:val="20"/>
          <w:szCs w:val="20"/>
        </w:rPr>
        <w:t xml:space="preserve">Despite additional investigative resources, </w:t>
      </w:r>
      <w:r w:rsidR="00B146E0">
        <w:rPr>
          <w:rFonts w:ascii="Verdana" w:hAnsi="Verdana"/>
          <w:sz w:val="20"/>
          <w:szCs w:val="20"/>
        </w:rPr>
        <w:t>s</w:t>
      </w:r>
      <w:r w:rsidR="001D46CE">
        <w:rPr>
          <w:rFonts w:ascii="Verdana" w:hAnsi="Verdana"/>
          <w:sz w:val="20"/>
          <w:szCs w:val="20"/>
        </w:rPr>
        <w:t xml:space="preserve">pecial RCCL staff visits to selected </w:t>
      </w:r>
      <w:r w:rsidR="00B146E0">
        <w:rPr>
          <w:rFonts w:ascii="Verdana" w:hAnsi="Verdana"/>
          <w:sz w:val="20"/>
          <w:szCs w:val="20"/>
        </w:rPr>
        <w:t>foster homes conducted within the past two years indicate that the inspections may not be fully effective in making sure CPAs are performing their duty to ensure that agency foster parents meet and maintain compliance with minimum licensing standards. Finally, allegations have recently been made to reporting that some CPA’s “own and operate foster homes.”</w:t>
      </w:r>
    </w:p>
    <w:p w:rsidR="004D24C1" w:rsidRDefault="004D24C1" w:rsidP="00B146E0">
      <w:pPr>
        <w:rPr>
          <w:rFonts w:ascii="Verdana" w:hAnsi="Verdana"/>
          <w:sz w:val="20"/>
          <w:szCs w:val="20"/>
        </w:rPr>
      </w:pPr>
    </w:p>
    <w:p w:rsidR="00B146E0" w:rsidRDefault="00B146E0" w:rsidP="00B146E0">
      <w:pPr>
        <w:rPr>
          <w:rFonts w:ascii="Verdana" w:hAnsi="Verdana"/>
          <w:sz w:val="20"/>
          <w:szCs w:val="20"/>
        </w:rPr>
      </w:pPr>
      <w:r>
        <w:rPr>
          <w:rFonts w:ascii="Verdana" w:hAnsi="Verdana"/>
          <w:sz w:val="20"/>
          <w:szCs w:val="20"/>
        </w:rPr>
        <w:t xml:space="preserve">Given this situation, concerns are not only being raised about the cost of inspections but the quality of the inspection work being performed by the contractors.  RCCL staff members have </w:t>
      </w:r>
      <w:r w:rsidR="004D24C1">
        <w:rPr>
          <w:rFonts w:ascii="Verdana" w:hAnsi="Verdana"/>
          <w:sz w:val="20"/>
          <w:szCs w:val="20"/>
        </w:rPr>
        <w:t xml:space="preserve">once again </w:t>
      </w:r>
      <w:r>
        <w:rPr>
          <w:rFonts w:ascii="Verdana" w:hAnsi="Verdana"/>
          <w:sz w:val="20"/>
          <w:szCs w:val="20"/>
        </w:rPr>
        <w:t xml:space="preserve">attributed the problems to lack of sufficient resources while contractors have recommended that IT solutions be implemented to streamline processes and cut “bureaucratic red tape.”  </w:t>
      </w:r>
    </w:p>
    <w:p w:rsidR="00724836" w:rsidRDefault="00724836" w:rsidP="00B146E0">
      <w:pPr>
        <w:jc w:val="both"/>
        <w:rPr>
          <w:rFonts w:ascii="Verdana" w:hAnsi="Verdana"/>
          <w:b/>
        </w:rPr>
      </w:pPr>
    </w:p>
    <w:p w:rsidR="00B146E0" w:rsidRDefault="00B146E0" w:rsidP="00B146E0">
      <w:pPr>
        <w:jc w:val="both"/>
        <w:rPr>
          <w:rFonts w:ascii="Verdana" w:hAnsi="Verdana"/>
          <w:b/>
        </w:rPr>
      </w:pPr>
      <w:r>
        <w:rPr>
          <w:rFonts w:ascii="Verdana" w:hAnsi="Verdana"/>
          <w:b/>
        </w:rPr>
        <w:t>FIXING THE QUALITY ASSURANCE PROCESS</w:t>
      </w:r>
    </w:p>
    <w:p w:rsidR="00B146E0" w:rsidRDefault="00B146E0" w:rsidP="00B146E0">
      <w:pPr>
        <w:jc w:val="both"/>
        <w:rPr>
          <w:rFonts w:ascii="Verdana" w:hAnsi="Verdana"/>
          <w:sz w:val="20"/>
          <w:szCs w:val="20"/>
        </w:rPr>
      </w:pPr>
    </w:p>
    <w:p w:rsidR="00B146E0" w:rsidRDefault="00B146E0" w:rsidP="00B146E0">
      <w:pPr>
        <w:rPr>
          <w:rFonts w:ascii="Verdana" w:hAnsi="Verdana"/>
          <w:sz w:val="20"/>
          <w:szCs w:val="20"/>
        </w:rPr>
      </w:pPr>
      <w:r>
        <w:rPr>
          <w:rFonts w:ascii="Verdana" w:hAnsi="Verdana"/>
          <w:sz w:val="20"/>
          <w:szCs w:val="20"/>
        </w:rPr>
        <w:t>The Child Care Licensing staff inputs information about their performance (using 10 performance measures including license issuance, monitoring visits, and investigations) into an automated system that supports the measures.  The measures are reviewed by the regional directors.  However, there is no process to ensure the information that supports the measures is accurate.</w:t>
      </w:r>
    </w:p>
    <w:p w:rsidR="00B146E0" w:rsidRDefault="00B146E0" w:rsidP="00B146E0">
      <w:pPr>
        <w:rPr>
          <w:rFonts w:ascii="Verdana" w:hAnsi="Verdana"/>
          <w:sz w:val="20"/>
          <w:szCs w:val="20"/>
        </w:rPr>
      </w:pPr>
      <w:r>
        <w:rPr>
          <w:rFonts w:ascii="Verdana" w:hAnsi="Verdana"/>
          <w:sz w:val="20"/>
          <w:szCs w:val="20"/>
        </w:rPr>
        <w:t>The regulation directors are responsible for making sure that regions comply with the quality assurance program.  They have the autonomy to develop their own quality assurance program.</w:t>
      </w:r>
    </w:p>
    <w:p w:rsidR="00B146E0" w:rsidRDefault="00B146E0" w:rsidP="00B146E0">
      <w:pPr>
        <w:rPr>
          <w:rFonts w:ascii="Verdana" w:hAnsi="Verdana"/>
          <w:sz w:val="20"/>
          <w:szCs w:val="20"/>
        </w:rPr>
      </w:pPr>
      <w:r>
        <w:rPr>
          <w:rFonts w:ascii="Verdana" w:hAnsi="Verdana"/>
          <w:sz w:val="20"/>
          <w:szCs w:val="20"/>
        </w:rPr>
        <w:t>The quality assurance process measures timeframes, not quality processes, and is not standardized.</w:t>
      </w:r>
    </w:p>
    <w:p w:rsidR="00B146E0" w:rsidRDefault="00B146E0" w:rsidP="00B146E0">
      <w:pPr>
        <w:rPr>
          <w:rFonts w:ascii="Verdana" w:hAnsi="Verdana"/>
          <w:sz w:val="20"/>
          <w:szCs w:val="20"/>
        </w:rPr>
      </w:pPr>
      <w:r>
        <w:rPr>
          <w:rFonts w:ascii="Verdana" w:hAnsi="Verdana"/>
          <w:sz w:val="20"/>
          <w:szCs w:val="20"/>
        </w:rPr>
        <w:t xml:space="preserve">In the absence of an adequate, accurate software application to support the program, a standardized, consistent quality assurance process with a well-defined feedback loop, becomes more critical.  </w:t>
      </w:r>
    </w:p>
    <w:p w:rsidR="005733E5" w:rsidRDefault="005733E5" w:rsidP="005733E5">
      <w:pPr>
        <w:rPr>
          <w:rFonts w:ascii="Verdana" w:hAnsi="Verdana"/>
          <w:b/>
        </w:rPr>
      </w:pPr>
    </w:p>
    <w:p w:rsidR="00390AC3" w:rsidRDefault="00390AC3" w:rsidP="005733E5">
      <w:pPr>
        <w:rPr>
          <w:rFonts w:ascii="Verdana" w:hAnsi="Verdana"/>
          <w:b/>
        </w:rPr>
      </w:pPr>
    </w:p>
    <w:p w:rsidR="005733E5" w:rsidRDefault="005733E5" w:rsidP="005733E5">
      <w:pPr>
        <w:rPr>
          <w:rFonts w:ascii="Verdana" w:hAnsi="Verdana"/>
          <w:b/>
        </w:rPr>
      </w:pPr>
      <w:r>
        <w:rPr>
          <w:rFonts w:ascii="Verdana" w:hAnsi="Verdana"/>
          <w:b/>
        </w:rPr>
        <w:lastRenderedPageBreak/>
        <w:t>FIXING THE INFORMATION SYSTEM</w:t>
      </w:r>
    </w:p>
    <w:p w:rsidR="005733E5" w:rsidRDefault="005733E5" w:rsidP="005733E5">
      <w:pPr>
        <w:rPr>
          <w:rFonts w:ascii="Verdana" w:hAnsi="Verdana"/>
          <w:sz w:val="20"/>
          <w:szCs w:val="20"/>
        </w:rPr>
      </w:pPr>
    </w:p>
    <w:p w:rsidR="005733E5" w:rsidRDefault="005733E5" w:rsidP="005733E5">
      <w:pPr>
        <w:rPr>
          <w:rFonts w:ascii="Verdana" w:hAnsi="Verdana"/>
          <w:sz w:val="20"/>
          <w:szCs w:val="20"/>
        </w:rPr>
      </w:pPr>
      <w:r>
        <w:rPr>
          <w:rFonts w:ascii="Verdana" w:hAnsi="Verdana"/>
          <w:sz w:val="20"/>
          <w:szCs w:val="20"/>
        </w:rPr>
        <w:t>The centralized automated system which supports child placing, facility licensing, and other services is antiquated.  A CCLP project identified a limitation of the current software application for the licensing program that impedes the timely flow of sufficient program information to management for decision making.</w:t>
      </w:r>
    </w:p>
    <w:p w:rsidR="005733E5" w:rsidRDefault="005733E5" w:rsidP="005733E5">
      <w:pPr>
        <w:rPr>
          <w:rFonts w:ascii="Verdana" w:hAnsi="Verdana"/>
          <w:sz w:val="20"/>
          <w:szCs w:val="20"/>
        </w:rPr>
      </w:pPr>
      <w:r>
        <w:rPr>
          <w:rFonts w:ascii="Verdana" w:hAnsi="Verdana"/>
          <w:sz w:val="20"/>
          <w:szCs w:val="20"/>
        </w:rPr>
        <w:t>Program management is moving aggressively to address this problem and has developed a comprehensive plan that has been approved by the information resources department.  Furthermore, this project is being monitored by an interagency information resources over</w:t>
      </w:r>
      <w:r w:rsidR="0049366A">
        <w:rPr>
          <w:rFonts w:ascii="Verdana" w:hAnsi="Verdana"/>
          <w:sz w:val="20"/>
          <w:szCs w:val="20"/>
        </w:rPr>
        <w:t>-</w:t>
      </w:r>
      <w:r>
        <w:rPr>
          <w:rFonts w:ascii="Verdana" w:hAnsi="Verdana"/>
          <w:sz w:val="20"/>
          <w:szCs w:val="20"/>
        </w:rPr>
        <w:t>sight committee.</w:t>
      </w:r>
    </w:p>
    <w:p w:rsidR="00B146E0" w:rsidRDefault="00B146E0" w:rsidP="00B146E0">
      <w:pPr>
        <w:jc w:val="both"/>
        <w:rPr>
          <w:rFonts w:ascii="Verdana" w:hAnsi="Verdana"/>
          <w:sz w:val="20"/>
          <w:szCs w:val="20"/>
          <w:u w:val="single"/>
        </w:rPr>
      </w:pPr>
    </w:p>
    <w:p w:rsidR="00B146E0" w:rsidRDefault="00857CE7" w:rsidP="00B146E0">
      <w:pPr>
        <w:rPr>
          <w:rFonts w:ascii="Verdana" w:hAnsi="Verdana"/>
          <w:b/>
        </w:rPr>
      </w:pPr>
      <w:r>
        <w:rPr>
          <w:rFonts w:ascii="Verdana" w:hAnsi="Verdana"/>
          <w:b/>
        </w:rPr>
        <w:t xml:space="preserve">FIXING THE </w:t>
      </w:r>
      <w:r w:rsidR="00B146E0">
        <w:rPr>
          <w:rFonts w:ascii="Verdana" w:hAnsi="Verdana"/>
          <w:b/>
        </w:rPr>
        <w:t>PROCEDURES HANDBOOK</w:t>
      </w:r>
    </w:p>
    <w:p w:rsidR="00B146E0" w:rsidRDefault="00B146E0" w:rsidP="00B146E0">
      <w:pPr>
        <w:rPr>
          <w:rFonts w:ascii="Verdana" w:hAnsi="Verdana"/>
          <w:sz w:val="20"/>
          <w:szCs w:val="20"/>
        </w:rPr>
      </w:pPr>
    </w:p>
    <w:p w:rsidR="00B146E0" w:rsidRDefault="00B146E0" w:rsidP="00B146E0">
      <w:pPr>
        <w:rPr>
          <w:rFonts w:ascii="Verdana" w:hAnsi="Verdana"/>
          <w:sz w:val="20"/>
          <w:szCs w:val="20"/>
        </w:rPr>
      </w:pPr>
      <w:r>
        <w:rPr>
          <w:rFonts w:ascii="Verdana" w:hAnsi="Verdana"/>
          <w:sz w:val="20"/>
          <w:szCs w:val="20"/>
        </w:rPr>
        <w:t>The new procedures handbook was issued months ago.</w:t>
      </w:r>
    </w:p>
    <w:p w:rsidR="00B146E0" w:rsidRDefault="00B146E0" w:rsidP="00B146E0">
      <w:pPr>
        <w:rPr>
          <w:rFonts w:ascii="Verdana" w:hAnsi="Verdana"/>
          <w:sz w:val="20"/>
          <w:szCs w:val="20"/>
        </w:rPr>
      </w:pPr>
      <w:r>
        <w:rPr>
          <w:rFonts w:ascii="Verdana" w:hAnsi="Verdana"/>
          <w:sz w:val="20"/>
          <w:szCs w:val="20"/>
        </w:rPr>
        <w:t>Some licensing changes from the last legislative session became effective several months ago.  However, guidelines for implementing these changes have not been fully documented or communicated to staff.</w:t>
      </w:r>
    </w:p>
    <w:p w:rsidR="00B146E0" w:rsidRDefault="00B146E0" w:rsidP="00B146E0">
      <w:pPr>
        <w:rPr>
          <w:rFonts w:ascii="Verdana" w:hAnsi="Verdana"/>
          <w:sz w:val="20"/>
          <w:szCs w:val="20"/>
        </w:rPr>
      </w:pPr>
      <w:r>
        <w:rPr>
          <w:rFonts w:ascii="Verdana" w:hAnsi="Verdana"/>
          <w:sz w:val="20"/>
          <w:szCs w:val="20"/>
        </w:rPr>
        <w:t>There are 12 sets of licensing standards for various types of child care facilities.  This presents a problem for policy analysts (to continually update the various sets as required by law), and is an enforcement and training issue (too many sets of regulations to master).</w:t>
      </w:r>
    </w:p>
    <w:p w:rsidR="00B146E0" w:rsidRDefault="00B146E0" w:rsidP="00B146E0">
      <w:pPr>
        <w:rPr>
          <w:rFonts w:ascii="Verdana" w:hAnsi="Verdana"/>
          <w:sz w:val="20"/>
          <w:szCs w:val="20"/>
        </w:rPr>
      </w:pPr>
      <w:r>
        <w:rPr>
          <w:rFonts w:ascii="Verdana" w:hAnsi="Verdana"/>
          <w:sz w:val="20"/>
          <w:szCs w:val="20"/>
        </w:rPr>
        <w:t>A CCLP task force in December 2008 cited the numerous sets as a barrier to enforcement.  GAO auditors identified this problem, also, but delayed work   due to conflicting congressional priorities.  The strong child care lobby has been fighting about revised day care minimum standards.  Another CCLP task force has recently been appointed to develop recommendations to reengineer the standards.</w:t>
      </w:r>
    </w:p>
    <w:p w:rsidR="00B146E0" w:rsidRDefault="00B146E0" w:rsidP="00B146E0">
      <w:pPr>
        <w:jc w:val="both"/>
        <w:rPr>
          <w:sz w:val="20"/>
          <w:szCs w:val="20"/>
        </w:rPr>
      </w:pPr>
    </w:p>
    <w:p w:rsidR="004532E3" w:rsidRPr="00C5770F" w:rsidRDefault="004532E3" w:rsidP="00FD5BCE">
      <w:pPr>
        <w:tabs>
          <w:tab w:val="left" w:pos="0"/>
        </w:tabs>
        <w:rPr>
          <w:rFonts w:ascii="Verdana" w:hAnsi="Verdana"/>
          <w:sz w:val="36"/>
          <w:szCs w:val="36"/>
        </w:rPr>
      </w:pPr>
    </w:p>
    <w:sectPr w:rsidR="004532E3" w:rsidRPr="00C5770F" w:rsidSect="00A41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3C9D"/>
    <w:multiLevelType w:val="hybridMultilevel"/>
    <w:tmpl w:val="41608C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558167D"/>
    <w:multiLevelType w:val="hybridMultilevel"/>
    <w:tmpl w:val="3F40DB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4452B6"/>
    <w:multiLevelType w:val="hybridMultilevel"/>
    <w:tmpl w:val="C2C6D6CE"/>
    <w:lvl w:ilvl="0" w:tplc="0409000F">
      <w:start w:val="1"/>
      <w:numFmt w:val="decimal"/>
      <w:lvlText w:val="%1."/>
      <w:lvlJc w:val="left"/>
      <w:pPr>
        <w:tabs>
          <w:tab w:val="num" w:pos="720"/>
        </w:tabs>
        <w:ind w:left="720" w:hanging="360"/>
      </w:pPr>
    </w:lvl>
    <w:lvl w:ilvl="1" w:tplc="876E0C34">
      <w:start w:val="1"/>
      <w:numFmt w:val="upperLetter"/>
      <w:lvlText w:val="%2."/>
      <w:lvlJc w:val="left"/>
      <w:pPr>
        <w:tabs>
          <w:tab w:val="num" w:pos="1440"/>
        </w:tabs>
        <w:ind w:left="1440" w:hanging="360"/>
      </w:pPr>
      <w:rPr>
        <w:rFonts w:hint="default"/>
      </w:rPr>
    </w:lvl>
    <w:lvl w:ilvl="2" w:tplc="4FEEE2E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33135A"/>
    <w:multiLevelType w:val="hybridMultilevel"/>
    <w:tmpl w:val="0A70A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8C7990"/>
    <w:multiLevelType w:val="hybridMultilevel"/>
    <w:tmpl w:val="C444F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C5770F"/>
    <w:rsid w:val="000974CA"/>
    <w:rsid w:val="000A4B9B"/>
    <w:rsid w:val="00104386"/>
    <w:rsid w:val="0018679F"/>
    <w:rsid w:val="001A7378"/>
    <w:rsid w:val="001D46CE"/>
    <w:rsid w:val="00241FCE"/>
    <w:rsid w:val="00245FAD"/>
    <w:rsid w:val="002C281C"/>
    <w:rsid w:val="003007AB"/>
    <w:rsid w:val="00390AC3"/>
    <w:rsid w:val="003F50F6"/>
    <w:rsid w:val="00405810"/>
    <w:rsid w:val="00430B46"/>
    <w:rsid w:val="004532E3"/>
    <w:rsid w:val="004643D8"/>
    <w:rsid w:val="0049366A"/>
    <w:rsid w:val="004B20AD"/>
    <w:rsid w:val="004D24C1"/>
    <w:rsid w:val="00553D99"/>
    <w:rsid w:val="005733E5"/>
    <w:rsid w:val="005B1D19"/>
    <w:rsid w:val="005B447D"/>
    <w:rsid w:val="00602FAA"/>
    <w:rsid w:val="00671C19"/>
    <w:rsid w:val="00724836"/>
    <w:rsid w:val="007F3D40"/>
    <w:rsid w:val="0084420F"/>
    <w:rsid w:val="00857CE7"/>
    <w:rsid w:val="00866979"/>
    <w:rsid w:val="008A2475"/>
    <w:rsid w:val="008B6710"/>
    <w:rsid w:val="008B6F61"/>
    <w:rsid w:val="008F4F63"/>
    <w:rsid w:val="008F7364"/>
    <w:rsid w:val="00972DA1"/>
    <w:rsid w:val="00A41991"/>
    <w:rsid w:val="00A41A0E"/>
    <w:rsid w:val="00A538D5"/>
    <w:rsid w:val="00A74BFB"/>
    <w:rsid w:val="00AC1669"/>
    <w:rsid w:val="00B00C50"/>
    <w:rsid w:val="00B146E0"/>
    <w:rsid w:val="00B85DE4"/>
    <w:rsid w:val="00BD726C"/>
    <w:rsid w:val="00C43B83"/>
    <w:rsid w:val="00C5770F"/>
    <w:rsid w:val="00C708F9"/>
    <w:rsid w:val="00CA78BA"/>
    <w:rsid w:val="00DA476F"/>
    <w:rsid w:val="00DB5742"/>
    <w:rsid w:val="00DD6236"/>
    <w:rsid w:val="00EC1EF7"/>
    <w:rsid w:val="00F130DB"/>
    <w:rsid w:val="00FC15AF"/>
    <w:rsid w:val="00FD5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0E"/>
  </w:style>
  <w:style w:type="paragraph" w:styleId="Heading1">
    <w:name w:val="heading 1"/>
    <w:basedOn w:val="Normal"/>
    <w:next w:val="Normal"/>
    <w:link w:val="Heading1Char"/>
    <w:qFormat/>
    <w:rsid w:val="00602FAA"/>
    <w:pPr>
      <w:keepNext/>
      <w:tabs>
        <w:tab w:val="left" w:pos="2520"/>
      </w:tabs>
      <w:spacing w:after="0" w:line="240" w:lineRule="auto"/>
      <w:outlineLvl w:val="0"/>
    </w:pPr>
    <w:rPr>
      <w:rFonts w:ascii="Verdana" w:eastAsia="Times New Roman" w:hAnsi="Verdana" w:cs="Times New Roman"/>
      <w:sz w:val="40"/>
      <w:szCs w:val="40"/>
    </w:rPr>
  </w:style>
  <w:style w:type="paragraph" w:styleId="Heading2">
    <w:name w:val="heading 2"/>
    <w:basedOn w:val="Normal"/>
    <w:next w:val="Normal"/>
    <w:link w:val="Heading2Char"/>
    <w:uiPriority w:val="9"/>
    <w:semiHidden/>
    <w:unhideWhenUsed/>
    <w:qFormat/>
    <w:rsid w:val="00B146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FAA"/>
    <w:rPr>
      <w:rFonts w:ascii="Verdana" w:eastAsia="Times New Roman" w:hAnsi="Verdana" w:cs="Times New Roman"/>
      <w:sz w:val="40"/>
      <w:szCs w:val="40"/>
    </w:rPr>
  </w:style>
  <w:style w:type="character" w:customStyle="1" w:styleId="Heading2Char">
    <w:name w:val="Heading 2 Char"/>
    <w:basedOn w:val="DefaultParagraphFont"/>
    <w:link w:val="Heading2"/>
    <w:uiPriority w:val="9"/>
    <w:semiHidden/>
    <w:rsid w:val="00B146E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EGAPP</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Morgan</dc:creator>
  <cp:keywords/>
  <dc:description/>
  <cp:lastModifiedBy>Steve Morgan</cp:lastModifiedBy>
  <cp:revision>2</cp:revision>
  <dcterms:created xsi:type="dcterms:W3CDTF">2010-06-08T15:30:00Z</dcterms:created>
  <dcterms:modified xsi:type="dcterms:W3CDTF">2010-06-08T15:30:00Z</dcterms:modified>
</cp:coreProperties>
</file>